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C9F8" w14:textId="77777777" w:rsidR="008C38EC" w:rsidRDefault="007F3B8D">
      <w:pPr>
        <w:pStyle w:val="Heading2"/>
        <w:ind w:left="-5"/>
      </w:pPr>
      <w:r>
        <w:t xml:space="preserve">Operator Information Notice </w:t>
      </w:r>
    </w:p>
    <w:p w14:paraId="3DAC05A3" w14:textId="77777777" w:rsidR="008C38EC" w:rsidRDefault="007F3B8D">
      <w:pPr>
        <w:spacing w:after="513" w:line="259" w:lineRule="auto"/>
        <w:ind w:left="0" w:right="3648" w:firstLine="0"/>
        <w:jc w:val="center"/>
      </w:pPr>
      <w:r>
        <w:rPr>
          <w:noProof/>
        </w:rPr>
        <w:drawing>
          <wp:inline distT="0" distB="0" distL="0" distR="0" wp14:anchorId="647B0263" wp14:editId="5E178E4B">
            <wp:extent cx="3238500" cy="11430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stretch>
                      <a:fillRect/>
                    </a:stretch>
                  </pic:blipFill>
                  <pic:spPr>
                    <a:xfrm>
                      <a:off x="0" y="0"/>
                      <a:ext cx="3238500" cy="1143000"/>
                    </a:xfrm>
                    <a:prstGeom prst="rect">
                      <a:avLst/>
                    </a:prstGeom>
                  </pic:spPr>
                </pic:pic>
              </a:graphicData>
            </a:graphic>
          </wp:inline>
        </w:drawing>
      </w:r>
      <w:r>
        <w:rPr>
          <w:sz w:val="24"/>
        </w:rPr>
        <w:t xml:space="preserve"> </w:t>
      </w:r>
    </w:p>
    <w:p w14:paraId="0B611031" w14:textId="77777777" w:rsidR="008C38EC" w:rsidRDefault="007F3B8D">
      <w:pPr>
        <w:spacing w:after="167" w:line="259" w:lineRule="auto"/>
        <w:ind w:left="108" w:right="0" w:firstLine="0"/>
        <w:jc w:val="left"/>
      </w:pPr>
      <w:r>
        <w:rPr>
          <w:color w:val="165EA8"/>
          <w:sz w:val="52"/>
        </w:rPr>
        <w:t xml:space="preserve"> </w:t>
      </w:r>
    </w:p>
    <w:p w14:paraId="25B6D057" w14:textId="354F7BBB" w:rsidR="008C38EC" w:rsidRDefault="00C5646E">
      <w:pPr>
        <w:spacing w:after="239" w:line="259" w:lineRule="auto"/>
        <w:ind w:left="108" w:right="0" w:firstLine="0"/>
        <w:jc w:val="left"/>
      </w:pPr>
      <w:r>
        <w:rPr>
          <w:color w:val="165EA8"/>
          <w:sz w:val="44"/>
        </w:rPr>
        <w:t xml:space="preserve">Fraudulent </w:t>
      </w:r>
      <w:r w:rsidR="00CF1F8D">
        <w:rPr>
          <w:color w:val="165EA8"/>
          <w:sz w:val="44"/>
        </w:rPr>
        <w:t>and/or Misu</w:t>
      </w:r>
      <w:r>
        <w:rPr>
          <w:color w:val="165EA8"/>
          <w:sz w:val="44"/>
        </w:rPr>
        <w:t>se of Numbering Resource</w:t>
      </w:r>
      <w:r w:rsidR="00CF1F8D">
        <w:rPr>
          <w:color w:val="165EA8"/>
          <w:sz w:val="44"/>
        </w:rPr>
        <w:t xml:space="preserve">s - </w:t>
      </w:r>
      <w:r w:rsidR="007F3B8D">
        <w:rPr>
          <w:color w:val="165EA8"/>
          <w:sz w:val="44"/>
        </w:rPr>
        <w:t>Regulation</w:t>
      </w:r>
      <w:r w:rsidR="00F644F0">
        <w:rPr>
          <w:color w:val="165EA8"/>
          <w:sz w:val="44"/>
        </w:rPr>
        <w:t xml:space="preserve"> </w:t>
      </w:r>
      <w:r w:rsidR="006F7C29">
        <w:rPr>
          <w:color w:val="165EA8"/>
          <w:sz w:val="44"/>
        </w:rPr>
        <w:t>8</w:t>
      </w:r>
      <w:r w:rsidR="00F644F0">
        <w:rPr>
          <w:color w:val="165EA8"/>
          <w:sz w:val="44"/>
        </w:rPr>
        <w:t>3</w:t>
      </w:r>
      <w:r w:rsidR="007F3B8D">
        <w:rPr>
          <w:color w:val="165EA8"/>
          <w:sz w:val="44"/>
        </w:rPr>
        <w:t xml:space="preserve">(2) Process </w:t>
      </w:r>
    </w:p>
    <w:p w14:paraId="71635758" w14:textId="77777777" w:rsidR="008C38EC" w:rsidRDefault="007F3B8D">
      <w:pPr>
        <w:spacing w:after="1899" w:line="259" w:lineRule="auto"/>
        <w:ind w:left="108" w:right="0" w:firstLine="0"/>
        <w:jc w:val="left"/>
      </w:pPr>
      <w:r>
        <w:rPr>
          <w:b/>
          <w:color w:val="165EA8"/>
          <w:sz w:val="44"/>
        </w:rPr>
        <w:t xml:space="preserve">An Operator’s Information Note </w:t>
      </w:r>
    </w:p>
    <w:p w14:paraId="0B1ABE96" w14:textId="77777777" w:rsidR="008C38EC" w:rsidRDefault="007F3B8D">
      <w:pPr>
        <w:spacing w:after="229" w:line="259" w:lineRule="auto"/>
        <w:ind w:left="108" w:right="0" w:firstLine="0"/>
        <w:jc w:val="left"/>
      </w:pPr>
      <w:r>
        <w:rPr>
          <w:sz w:val="24"/>
        </w:rPr>
        <w:t xml:space="preserve"> </w:t>
      </w:r>
      <w:r>
        <w:rPr>
          <w:sz w:val="24"/>
        </w:rPr>
        <w:tab/>
      </w:r>
      <w:r>
        <w:rPr>
          <w:b/>
          <w:color w:val="000080"/>
          <w:sz w:val="28"/>
        </w:rPr>
        <w:t xml:space="preserve"> </w:t>
      </w:r>
    </w:p>
    <w:p w14:paraId="1C0E3E76" w14:textId="77777777" w:rsidR="008C38EC" w:rsidRDefault="007F3B8D">
      <w:pPr>
        <w:spacing w:after="229" w:line="259" w:lineRule="auto"/>
        <w:ind w:left="108" w:right="0" w:firstLine="0"/>
        <w:jc w:val="left"/>
      </w:pPr>
      <w:r>
        <w:rPr>
          <w:sz w:val="24"/>
        </w:rPr>
        <w:t xml:space="preserve"> </w:t>
      </w:r>
      <w:r>
        <w:rPr>
          <w:sz w:val="24"/>
        </w:rPr>
        <w:tab/>
      </w:r>
      <w:r>
        <w:rPr>
          <w:b/>
          <w:color w:val="000080"/>
          <w:sz w:val="28"/>
        </w:rPr>
        <w:t xml:space="preserve"> </w:t>
      </w:r>
    </w:p>
    <w:p w14:paraId="697EF0A8" w14:textId="77777777" w:rsidR="008C38EC" w:rsidRDefault="007F3B8D">
      <w:pPr>
        <w:spacing w:after="229" w:line="259" w:lineRule="auto"/>
        <w:ind w:left="108" w:right="0" w:firstLine="0"/>
        <w:jc w:val="left"/>
      </w:pPr>
      <w:r>
        <w:rPr>
          <w:sz w:val="24"/>
        </w:rPr>
        <w:t xml:space="preserve"> </w:t>
      </w:r>
      <w:r>
        <w:rPr>
          <w:sz w:val="24"/>
        </w:rPr>
        <w:tab/>
      </w:r>
      <w:r>
        <w:rPr>
          <w:b/>
          <w:color w:val="000080"/>
          <w:sz w:val="28"/>
        </w:rPr>
        <w:t xml:space="preserve"> </w:t>
      </w:r>
    </w:p>
    <w:p w14:paraId="45E35B49" w14:textId="77777777" w:rsidR="008C38EC" w:rsidRDefault="007F3B8D">
      <w:pPr>
        <w:spacing w:after="200" w:line="259" w:lineRule="auto"/>
        <w:ind w:left="108" w:right="0" w:firstLine="0"/>
        <w:jc w:val="left"/>
      </w:pPr>
      <w:r>
        <w:rPr>
          <w:sz w:val="24"/>
        </w:rPr>
        <w:t xml:space="preserve"> </w:t>
      </w:r>
      <w:r>
        <w:rPr>
          <w:sz w:val="24"/>
        </w:rPr>
        <w:tab/>
      </w:r>
      <w:r>
        <w:rPr>
          <w:b/>
          <w:color w:val="000080"/>
          <w:sz w:val="28"/>
        </w:rPr>
        <w:t xml:space="preserve"> </w:t>
      </w:r>
    </w:p>
    <w:p w14:paraId="3E31DBD5" w14:textId="77777777" w:rsidR="008C38EC" w:rsidRDefault="007F3B8D">
      <w:pPr>
        <w:spacing w:after="409" w:line="259" w:lineRule="auto"/>
        <w:ind w:left="108" w:right="0" w:firstLine="0"/>
        <w:jc w:val="left"/>
      </w:pPr>
      <w:r>
        <w:rPr>
          <w:color w:val="165EA8"/>
        </w:rPr>
        <w:t xml:space="preserve">               </w:t>
      </w:r>
    </w:p>
    <w:p w14:paraId="19CB4BD4" w14:textId="6EC58B6B" w:rsidR="008C38EC" w:rsidRDefault="007F3B8D">
      <w:pPr>
        <w:tabs>
          <w:tab w:val="center" w:pos="4867"/>
          <w:tab w:val="center" w:pos="7612"/>
        </w:tabs>
        <w:spacing w:after="203" w:line="259" w:lineRule="auto"/>
        <w:ind w:left="0" w:right="0" w:firstLine="0"/>
        <w:jc w:val="left"/>
      </w:pPr>
      <w:r>
        <w:rPr>
          <w:sz w:val="37"/>
          <w:vertAlign w:val="superscript"/>
        </w:rPr>
        <w:t xml:space="preserve"> </w:t>
      </w:r>
      <w:r>
        <w:rPr>
          <w:sz w:val="37"/>
          <w:vertAlign w:val="superscript"/>
        </w:rPr>
        <w:tab/>
      </w:r>
      <w:r>
        <w:rPr>
          <w:b/>
          <w:color w:val="165EA8"/>
          <w:sz w:val="28"/>
        </w:rPr>
        <w:t xml:space="preserve">Reference </w:t>
      </w:r>
      <w:r>
        <w:rPr>
          <w:b/>
          <w:color w:val="165EA8"/>
          <w:sz w:val="28"/>
        </w:rPr>
        <w:tab/>
      </w:r>
      <w:r w:rsidR="003E53A4">
        <w:rPr>
          <w:b/>
          <w:color w:val="165EA8"/>
          <w:sz w:val="28"/>
        </w:rPr>
        <w:t xml:space="preserve">    </w:t>
      </w:r>
      <w:r>
        <w:rPr>
          <w:sz w:val="24"/>
        </w:rPr>
        <w:t xml:space="preserve">ComReg </w:t>
      </w:r>
      <w:r w:rsidR="00A7097B" w:rsidRPr="008C50C2">
        <w:rPr>
          <w:sz w:val="24"/>
        </w:rPr>
        <w:t>18/119</w:t>
      </w:r>
      <w:r w:rsidR="00416651" w:rsidRPr="008C50C2">
        <w:rPr>
          <w:sz w:val="24"/>
        </w:rPr>
        <w:t>R</w:t>
      </w:r>
    </w:p>
    <w:p w14:paraId="2728C880" w14:textId="02D3901D" w:rsidR="008C38EC" w:rsidRDefault="007F3B8D">
      <w:pPr>
        <w:pStyle w:val="Heading3"/>
        <w:tabs>
          <w:tab w:val="center" w:pos="4702"/>
          <w:tab w:val="center" w:pos="7078"/>
        </w:tabs>
        <w:spacing w:after="248" w:line="267" w:lineRule="auto"/>
        <w:ind w:left="0" w:firstLine="0"/>
      </w:pPr>
      <w:r>
        <w:rPr>
          <w:b w:val="0"/>
          <w:color w:val="000000"/>
          <w:sz w:val="24"/>
        </w:rPr>
        <w:t xml:space="preserve"> </w:t>
      </w:r>
      <w:r>
        <w:rPr>
          <w:b w:val="0"/>
          <w:color w:val="000000"/>
          <w:sz w:val="24"/>
        </w:rPr>
        <w:tab/>
      </w:r>
      <w:r>
        <w:rPr>
          <w:sz w:val="28"/>
        </w:rPr>
        <w:t xml:space="preserve">Version </w:t>
      </w:r>
      <w:r>
        <w:rPr>
          <w:sz w:val="28"/>
        </w:rPr>
        <w:tab/>
      </w:r>
      <w:r w:rsidR="00416651">
        <w:rPr>
          <w:b w:val="0"/>
          <w:color w:val="000000"/>
          <w:sz w:val="37"/>
          <w:vertAlign w:val="subscript"/>
        </w:rPr>
        <w:t>Final</w:t>
      </w:r>
    </w:p>
    <w:p w14:paraId="62A0B116" w14:textId="7261AFA6" w:rsidR="008C38EC" w:rsidRDefault="007F3B8D">
      <w:pPr>
        <w:tabs>
          <w:tab w:val="center" w:pos="4492"/>
          <w:tab w:val="center" w:pos="7759"/>
        </w:tabs>
        <w:spacing w:after="0" w:line="259" w:lineRule="auto"/>
        <w:ind w:left="0" w:right="0" w:firstLine="0"/>
        <w:jc w:val="left"/>
      </w:pPr>
      <w:r>
        <w:rPr>
          <w:sz w:val="37"/>
          <w:vertAlign w:val="superscript"/>
        </w:rPr>
        <w:t xml:space="preserve"> </w:t>
      </w:r>
      <w:r>
        <w:rPr>
          <w:sz w:val="37"/>
          <w:vertAlign w:val="superscript"/>
        </w:rPr>
        <w:tab/>
      </w:r>
      <w:r>
        <w:rPr>
          <w:b/>
          <w:color w:val="165EA8"/>
          <w:sz w:val="28"/>
        </w:rPr>
        <w:t>Date</w:t>
      </w:r>
      <w:r>
        <w:rPr>
          <w:b/>
          <w:color w:val="165EA8"/>
          <w:sz w:val="43"/>
          <w:vertAlign w:val="superscript"/>
        </w:rPr>
        <w:t xml:space="preserve"> </w:t>
      </w:r>
      <w:r>
        <w:rPr>
          <w:b/>
          <w:color w:val="165EA8"/>
          <w:sz w:val="43"/>
          <w:vertAlign w:val="superscript"/>
        </w:rPr>
        <w:tab/>
      </w:r>
      <w:r w:rsidR="00C160AE" w:rsidRPr="00C160AE">
        <w:rPr>
          <w:sz w:val="24"/>
        </w:rPr>
        <w:t xml:space="preserve">25 </w:t>
      </w:r>
      <w:r w:rsidR="00917ADA" w:rsidRPr="00C160AE">
        <w:rPr>
          <w:sz w:val="24"/>
        </w:rPr>
        <w:t>October</w:t>
      </w:r>
      <w:r w:rsidR="00E13C6F" w:rsidRPr="00C160AE">
        <w:rPr>
          <w:sz w:val="24"/>
        </w:rPr>
        <w:t xml:space="preserve"> 2023</w:t>
      </w:r>
      <w:r>
        <w:rPr>
          <w:sz w:val="24"/>
        </w:rPr>
        <w:t xml:space="preserve"> </w:t>
      </w:r>
    </w:p>
    <w:p w14:paraId="49B689FC" w14:textId="77777777" w:rsidR="008C38EC" w:rsidRDefault="007F3B8D">
      <w:pPr>
        <w:spacing w:after="215" w:line="259" w:lineRule="auto"/>
        <w:ind w:left="0" w:right="0" w:firstLine="0"/>
        <w:jc w:val="left"/>
      </w:pPr>
      <w:r>
        <w:t xml:space="preserve"> </w:t>
      </w:r>
    </w:p>
    <w:p w14:paraId="7AD85F16" w14:textId="77777777" w:rsidR="008C38EC" w:rsidRDefault="007F3B8D">
      <w:pPr>
        <w:spacing w:after="242" w:line="259" w:lineRule="auto"/>
        <w:ind w:left="0" w:right="0" w:firstLine="0"/>
        <w:jc w:val="left"/>
      </w:pPr>
      <w:r>
        <w:t xml:space="preserve"> </w:t>
      </w:r>
      <w:r>
        <w:tab/>
        <w:t xml:space="preserve"> </w:t>
      </w:r>
    </w:p>
    <w:p w14:paraId="59C4C753" w14:textId="7EA91FAF" w:rsidR="008C38EC" w:rsidRDefault="007F3B8D">
      <w:pPr>
        <w:spacing w:after="482" w:line="259" w:lineRule="auto"/>
        <w:ind w:left="0" w:right="0" w:firstLine="0"/>
        <w:jc w:val="left"/>
      </w:pPr>
      <w:r>
        <w:rPr>
          <w:sz w:val="24"/>
        </w:rPr>
        <w:t xml:space="preserve"> </w:t>
      </w:r>
    </w:p>
    <w:p w14:paraId="3E946F95" w14:textId="77E587AA" w:rsidR="008C38EC" w:rsidRPr="00AE5F6E" w:rsidRDefault="008C38EC" w:rsidP="00A7097B">
      <w:pPr>
        <w:spacing w:after="9" w:line="259" w:lineRule="auto"/>
        <w:ind w:right="0"/>
        <w:jc w:val="left"/>
        <w:rPr>
          <w:lang w:val="pt-PT"/>
        </w:rPr>
      </w:pPr>
    </w:p>
    <w:p w14:paraId="5F8983E3" w14:textId="5E3D1303" w:rsidR="008C38EC" w:rsidRDefault="007F3B8D">
      <w:pPr>
        <w:tabs>
          <w:tab w:val="center" w:pos="4681"/>
          <w:tab w:val="right" w:pos="9031"/>
        </w:tabs>
        <w:spacing w:after="864" w:line="259" w:lineRule="auto"/>
        <w:ind w:left="0" w:right="0" w:firstLine="0"/>
        <w:jc w:val="left"/>
      </w:pPr>
      <w:r w:rsidRPr="00AE5F6E">
        <w:rPr>
          <w:rFonts w:ascii="Calibri" w:eastAsia="Calibri" w:hAnsi="Calibri" w:cs="Calibri"/>
          <w:lang w:val="pt-PT"/>
        </w:rPr>
        <w:lastRenderedPageBreak/>
        <w:tab/>
      </w:r>
    </w:p>
    <w:sdt>
      <w:sdtPr>
        <w:rPr>
          <w:b w:val="0"/>
          <w:color w:val="000000"/>
          <w:sz w:val="22"/>
        </w:rPr>
        <w:id w:val="-1638246977"/>
        <w:docPartObj>
          <w:docPartGallery w:val="Table of Contents"/>
        </w:docPartObj>
      </w:sdtPr>
      <w:sdtEndPr/>
      <w:sdtContent>
        <w:p w14:paraId="399596B9" w14:textId="77777777" w:rsidR="008C38EC" w:rsidRDefault="007F3B8D">
          <w:pPr>
            <w:pStyle w:val="Heading3"/>
            <w:spacing w:after="211" w:line="259" w:lineRule="auto"/>
            <w:ind w:left="0" w:firstLine="0"/>
          </w:pPr>
          <w:r>
            <w:rPr>
              <w:color w:val="365F91"/>
            </w:rPr>
            <w:t xml:space="preserve">Contents </w:t>
          </w:r>
        </w:p>
        <w:p w14:paraId="167C4014" w14:textId="4CDBA7A8" w:rsidR="002E5323" w:rsidRDefault="007F3B8D">
          <w:pPr>
            <w:pStyle w:val="TOC1"/>
            <w:tabs>
              <w:tab w:val="right" w:leader="dot" w:pos="9020"/>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146793346" w:history="1">
            <w:r w:rsidR="002E5323" w:rsidRPr="00D511AB">
              <w:rPr>
                <w:rStyle w:val="Hyperlink"/>
                <w:noProof/>
              </w:rPr>
              <w:t>1 Introduction</w:t>
            </w:r>
            <w:r w:rsidR="002E5323">
              <w:rPr>
                <w:noProof/>
                <w:webHidden/>
              </w:rPr>
              <w:tab/>
            </w:r>
            <w:r w:rsidR="002E5323">
              <w:rPr>
                <w:noProof/>
                <w:webHidden/>
              </w:rPr>
              <w:fldChar w:fldCharType="begin"/>
            </w:r>
            <w:r w:rsidR="002E5323">
              <w:rPr>
                <w:noProof/>
                <w:webHidden/>
              </w:rPr>
              <w:instrText xml:space="preserve"> PAGEREF _Toc146793346 \h </w:instrText>
            </w:r>
            <w:r w:rsidR="002E5323">
              <w:rPr>
                <w:noProof/>
                <w:webHidden/>
              </w:rPr>
            </w:r>
            <w:r w:rsidR="002E5323">
              <w:rPr>
                <w:noProof/>
                <w:webHidden/>
              </w:rPr>
              <w:fldChar w:fldCharType="separate"/>
            </w:r>
            <w:r w:rsidR="002E5323">
              <w:rPr>
                <w:noProof/>
                <w:webHidden/>
              </w:rPr>
              <w:t>3</w:t>
            </w:r>
            <w:r w:rsidR="002E5323">
              <w:rPr>
                <w:noProof/>
                <w:webHidden/>
              </w:rPr>
              <w:fldChar w:fldCharType="end"/>
            </w:r>
          </w:hyperlink>
        </w:p>
        <w:p w14:paraId="37B2FEBB" w14:textId="21BC5B66"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47" w:history="1">
            <w:r w:rsidR="002E5323" w:rsidRPr="00D511AB">
              <w:rPr>
                <w:rStyle w:val="Hyperlink"/>
                <w:noProof/>
              </w:rPr>
              <w:t>2 Background</w:t>
            </w:r>
            <w:r w:rsidR="002E5323">
              <w:rPr>
                <w:noProof/>
                <w:webHidden/>
              </w:rPr>
              <w:tab/>
            </w:r>
            <w:r w:rsidR="002E5323">
              <w:rPr>
                <w:noProof/>
                <w:webHidden/>
              </w:rPr>
              <w:fldChar w:fldCharType="begin"/>
            </w:r>
            <w:r w:rsidR="002E5323">
              <w:rPr>
                <w:noProof/>
                <w:webHidden/>
              </w:rPr>
              <w:instrText xml:space="preserve"> PAGEREF _Toc146793347 \h </w:instrText>
            </w:r>
            <w:r w:rsidR="002E5323">
              <w:rPr>
                <w:noProof/>
                <w:webHidden/>
              </w:rPr>
            </w:r>
            <w:r w:rsidR="002E5323">
              <w:rPr>
                <w:noProof/>
                <w:webHidden/>
              </w:rPr>
              <w:fldChar w:fldCharType="separate"/>
            </w:r>
            <w:r w:rsidR="002E5323">
              <w:rPr>
                <w:noProof/>
                <w:webHidden/>
              </w:rPr>
              <w:t>4</w:t>
            </w:r>
            <w:r w:rsidR="002E5323">
              <w:rPr>
                <w:noProof/>
                <w:webHidden/>
              </w:rPr>
              <w:fldChar w:fldCharType="end"/>
            </w:r>
          </w:hyperlink>
        </w:p>
        <w:p w14:paraId="68E32000" w14:textId="2C62E6B8"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48" w:history="1">
            <w:r w:rsidR="002E5323" w:rsidRPr="00D511AB">
              <w:rPr>
                <w:rStyle w:val="Hyperlink"/>
                <w:noProof/>
              </w:rPr>
              <w:t>3 Objective of the Regulation 83(2) Process</w:t>
            </w:r>
            <w:r w:rsidR="002E5323">
              <w:rPr>
                <w:noProof/>
                <w:webHidden/>
              </w:rPr>
              <w:tab/>
            </w:r>
            <w:r w:rsidR="002E5323">
              <w:rPr>
                <w:noProof/>
                <w:webHidden/>
              </w:rPr>
              <w:fldChar w:fldCharType="begin"/>
            </w:r>
            <w:r w:rsidR="002E5323">
              <w:rPr>
                <w:noProof/>
                <w:webHidden/>
              </w:rPr>
              <w:instrText xml:space="preserve"> PAGEREF _Toc146793348 \h </w:instrText>
            </w:r>
            <w:r w:rsidR="002E5323">
              <w:rPr>
                <w:noProof/>
                <w:webHidden/>
              </w:rPr>
            </w:r>
            <w:r w:rsidR="002E5323">
              <w:rPr>
                <w:noProof/>
                <w:webHidden/>
              </w:rPr>
              <w:fldChar w:fldCharType="separate"/>
            </w:r>
            <w:r w:rsidR="002E5323">
              <w:rPr>
                <w:noProof/>
                <w:webHidden/>
              </w:rPr>
              <w:t>5</w:t>
            </w:r>
            <w:r w:rsidR="002E5323">
              <w:rPr>
                <w:noProof/>
                <w:webHidden/>
              </w:rPr>
              <w:fldChar w:fldCharType="end"/>
            </w:r>
          </w:hyperlink>
        </w:p>
        <w:p w14:paraId="6C4F988F" w14:textId="7ADEEA8A"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49" w:history="1">
            <w:r w:rsidR="002E5323" w:rsidRPr="00D511AB">
              <w:rPr>
                <w:rStyle w:val="Hyperlink"/>
                <w:noProof/>
              </w:rPr>
              <w:t>4 Considerations for intervention in misuse cases</w:t>
            </w:r>
            <w:r w:rsidR="002E5323">
              <w:rPr>
                <w:noProof/>
                <w:webHidden/>
              </w:rPr>
              <w:tab/>
            </w:r>
            <w:r w:rsidR="002E5323">
              <w:rPr>
                <w:noProof/>
                <w:webHidden/>
              </w:rPr>
              <w:fldChar w:fldCharType="begin"/>
            </w:r>
            <w:r w:rsidR="002E5323">
              <w:rPr>
                <w:noProof/>
                <w:webHidden/>
              </w:rPr>
              <w:instrText xml:space="preserve"> PAGEREF _Toc146793349 \h </w:instrText>
            </w:r>
            <w:r w:rsidR="002E5323">
              <w:rPr>
                <w:noProof/>
                <w:webHidden/>
              </w:rPr>
            </w:r>
            <w:r w:rsidR="002E5323">
              <w:rPr>
                <w:noProof/>
                <w:webHidden/>
              </w:rPr>
              <w:fldChar w:fldCharType="separate"/>
            </w:r>
            <w:r w:rsidR="002E5323">
              <w:rPr>
                <w:noProof/>
                <w:webHidden/>
              </w:rPr>
              <w:t>6</w:t>
            </w:r>
            <w:r w:rsidR="002E5323">
              <w:rPr>
                <w:noProof/>
                <w:webHidden/>
              </w:rPr>
              <w:fldChar w:fldCharType="end"/>
            </w:r>
          </w:hyperlink>
        </w:p>
        <w:p w14:paraId="449C89C1" w14:textId="1C9FC955"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50" w:history="1">
            <w:r w:rsidR="002E5323" w:rsidRPr="00D511AB">
              <w:rPr>
                <w:rStyle w:val="Hyperlink"/>
                <w:noProof/>
              </w:rPr>
              <w:t>5 Requirements for Operators</w:t>
            </w:r>
            <w:r w:rsidR="002E5323">
              <w:rPr>
                <w:noProof/>
                <w:webHidden/>
              </w:rPr>
              <w:tab/>
            </w:r>
            <w:r w:rsidR="002E5323">
              <w:rPr>
                <w:noProof/>
                <w:webHidden/>
              </w:rPr>
              <w:fldChar w:fldCharType="begin"/>
            </w:r>
            <w:r w:rsidR="002E5323">
              <w:rPr>
                <w:noProof/>
                <w:webHidden/>
              </w:rPr>
              <w:instrText xml:space="preserve"> PAGEREF _Toc146793350 \h </w:instrText>
            </w:r>
            <w:r w:rsidR="002E5323">
              <w:rPr>
                <w:noProof/>
                <w:webHidden/>
              </w:rPr>
            </w:r>
            <w:r w:rsidR="002E5323">
              <w:rPr>
                <w:noProof/>
                <w:webHidden/>
              </w:rPr>
              <w:fldChar w:fldCharType="separate"/>
            </w:r>
            <w:r w:rsidR="002E5323">
              <w:rPr>
                <w:noProof/>
                <w:webHidden/>
              </w:rPr>
              <w:t>8</w:t>
            </w:r>
            <w:r w:rsidR="002E5323">
              <w:rPr>
                <w:noProof/>
                <w:webHidden/>
              </w:rPr>
              <w:fldChar w:fldCharType="end"/>
            </w:r>
          </w:hyperlink>
        </w:p>
        <w:p w14:paraId="445D88DB" w14:textId="575BE29C"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51" w:history="1">
            <w:r w:rsidR="002E5323" w:rsidRPr="00D511AB">
              <w:rPr>
                <w:rStyle w:val="Hyperlink"/>
                <w:noProof/>
              </w:rPr>
              <w:t>6 Process for investigating misuse cases</w:t>
            </w:r>
            <w:r w:rsidR="002E5323">
              <w:rPr>
                <w:noProof/>
                <w:webHidden/>
              </w:rPr>
              <w:tab/>
            </w:r>
            <w:r w:rsidR="002E5323">
              <w:rPr>
                <w:noProof/>
                <w:webHidden/>
              </w:rPr>
              <w:fldChar w:fldCharType="begin"/>
            </w:r>
            <w:r w:rsidR="002E5323">
              <w:rPr>
                <w:noProof/>
                <w:webHidden/>
              </w:rPr>
              <w:instrText xml:space="preserve"> PAGEREF _Toc146793351 \h </w:instrText>
            </w:r>
            <w:r w:rsidR="002E5323">
              <w:rPr>
                <w:noProof/>
                <w:webHidden/>
              </w:rPr>
            </w:r>
            <w:r w:rsidR="002E5323">
              <w:rPr>
                <w:noProof/>
                <w:webHidden/>
              </w:rPr>
              <w:fldChar w:fldCharType="separate"/>
            </w:r>
            <w:r w:rsidR="002E5323">
              <w:rPr>
                <w:noProof/>
                <w:webHidden/>
              </w:rPr>
              <w:t>9</w:t>
            </w:r>
            <w:r w:rsidR="002E5323">
              <w:rPr>
                <w:noProof/>
                <w:webHidden/>
              </w:rPr>
              <w:fldChar w:fldCharType="end"/>
            </w:r>
          </w:hyperlink>
        </w:p>
        <w:p w14:paraId="535807EF" w14:textId="77E6C52A" w:rsidR="002E5323" w:rsidRDefault="00597913">
          <w:pPr>
            <w:pStyle w:val="TOC1"/>
            <w:tabs>
              <w:tab w:val="left" w:pos="1760"/>
              <w:tab w:val="right" w:leader="dot" w:pos="9020"/>
            </w:tabs>
            <w:rPr>
              <w:rFonts w:asciiTheme="minorHAnsi" w:eastAsiaTheme="minorEastAsia" w:hAnsiTheme="minorHAnsi" w:cstheme="minorBidi"/>
              <w:noProof/>
              <w:color w:val="auto"/>
              <w:sz w:val="22"/>
            </w:rPr>
          </w:pPr>
          <w:hyperlink w:anchor="_Toc146793352" w:history="1">
            <w:r w:rsidR="002E5323" w:rsidRPr="00D511AB">
              <w:rPr>
                <w:rStyle w:val="Hyperlink"/>
                <w:noProof/>
              </w:rPr>
              <w:t xml:space="preserve">Appendix: 1 </w:t>
            </w:r>
            <w:r w:rsidR="002E5323">
              <w:rPr>
                <w:rFonts w:asciiTheme="minorHAnsi" w:eastAsiaTheme="minorEastAsia" w:hAnsiTheme="minorHAnsi" w:cstheme="minorBidi"/>
                <w:noProof/>
                <w:color w:val="auto"/>
                <w:sz w:val="22"/>
              </w:rPr>
              <w:tab/>
            </w:r>
            <w:r w:rsidR="002E5323" w:rsidRPr="00D511AB">
              <w:rPr>
                <w:rStyle w:val="Hyperlink"/>
                <w:noProof/>
              </w:rPr>
              <w:t>Relevant Information</w:t>
            </w:r>
            <w:r w:rsidR="002E5323">
              <w:rPr>
                <w:noProof/>
                <w:webHidden/>
              </w:rPr>
              <w:tab/>
            </w:r>
            <w:r w:rsidR="002E5323">
              <w:rPr>
                <w:noProof/>
                <w:webHidden/>
              </w:rPr>
              <w:fldChar w:fldCharType="begin"/>
            </w:r>
            <w:r w:rsidR="002E5323">
              <w:rPr>
                <w:noProof/>
                <w:webHidden/>
              </w:rPr>
              <w:instrText xml:space="preserve"> PAGEREF _Toc146793352 \h </w:instrText>
            </w:r>
            <w:r w:rsidR="002E5323">
              <w:rPr>
                <w:noProof/>
                <w:webHidden/>
              </w:rPr>
            </w:r>
            <w:r w:rsidR="002E5323">
              <w:rPr>
                <w:noProof/>
                <w:webHidden/>
              </w:rPr>
              <w:fldChar w:fldCharType="separate"/>
            </w:r>
            <w:r w:rsidR="002E5323">
              <w:rPr>
                <w:noProof/>
                <w:webHidden/>
              </w:rPr>
              <w:t>11</w:t>
            </w:r>
            <w:r w:rsidR="002E5323">
              <w:rPr>
                <w:noProof/>
                <w:webHidden/>
              </w:rPr>
              <w:fldChar w:fldCharType="end"/>
            </w:r>
          </w:hyperlink>
        </w:p>
        <w:p w14:paraId="73353583" w14:textId="2EED162F"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53" w:history="1">
            <w:r w:rsidR="002E5323" w:rsidRPr="00D511AB">
              <w:rPr>
                <w:rStyle w:val="Hyperlink"/>
                <w:noProof/>
              </w:rPr>
              <w:t>Appendix: 2 Operator Misuse Form</w:t>
            </w:r>
            <w:r w:rsidR="002E5323">
              <w:rPr>
                <w:noProof/>
                <w:webHidden/>
              </w:rPr>
              <w:tab/>
            </w:r>
            <w:r w:rsidR="002E5323">
              <w:rPr>
                <w:noProof/>
                <w:webHidden/>
              </w:rPr>
              <w:fldChar w:fldCharType="begin"/>
            </w:r>
            <w:r w:rsidR="002E5323">
              <w:rPr>
                <w:noProof/>
                <w:webHidden/>
              </w:rPr>
              <w:instrText xml:space="preserve"> PAGEREF _Toc146793353 \h </w:instrText>
            </w:r>
            <w:r w:rsidR="002E5323">
              <w:rPr>
                <w:noProof/>
                <w:webHidden/>
              </w:rPr>
            </w:r>
            <w:r w:rsidR="002E5323">
              <w:rPr>
                <w:noProof/>
                <w:webHidden/>
              </w:rPr>
              <w:fldChar w:fldCharType="separate"/>
            </w:r>
            <w:r w:rsidR="002E5323">
              <w:rPr>
                <w:noProof/>
                <w:webHidden/>
              </w:rPr>
              <w:t>12</w:t>
            </w:r>
            <w:r w:rsidR="002E5323">
              <w:rPr>
                <w:noProof/>
                <w:webHidden/>
              </w:rPr>
              <w:fldChar w:fldCharType="end"/>
            </w:r>
          </w:hyperlink>
        </w:p>
        <w:p w14:paraId="5B52CCB0" w14:textId="4C0FE042" w:rsidR="002E5323" w:rsidRDefault="00597913">
          <w:pPr>
            <w:pStyle w:val="TOC1"/>
            <w:tabs>
              <w:tab w:val="right" w:leader="dot" w:pos="9020"/>
            </w:tabs>
            <w:rPr>
              <w:rFonts w:asciiTheme="minorHAnsi" w:eastAsiaTheme="minorEastAsia" w:hAnsiTheme="minorHAnsi" w:cstheme="minorBidi"/>
              <w:noProof/>
              <w:color w:val="auto"/>
              <w:sz w:val="22"/>
            </w:rPr>
          </w:pPr>
          <w:hyperlink w:anchor="_Toc146793354" w:history="1">
            <w:r w:rsidR="002E5323" w:rsidRPr="00D511AB">
              <w:rPr>
                <w:rStyle w:val="Hyperlink"/>
                <w:noProof/>
              </w:rPr>
              <w:t>Appendix 3 Advice to End Users</w:t>
            </w:r>
            <w:r w:rsidR="002E5323">
              <w:rPr>
                <w:noProof/>
                <w:webHidden/>
              </w:rPr>
              <w:tab/>
            </w:r>
            <w:r w:rsidR="002E5323">
              <w:rPr>
                <w:noProof/>
                <w:webHidden/>
              </w:rPr>
              <w:fldChar w:fldCharType="begin"/>
            </w:r>
            <w:r w:rsidR="002E5323">
              <w:rPr>
                <w:noProof/>
                <w:webHidden/>
              </w:rPr>
              <w:instrText xml:space="preserve"> PAGEREF _Toc146793354 \h </w:instrText>
            </w:r>
            <w:r w:rsidR="002E5323">
              <w:rPr>
                <w:noProof/>
                <w:webHidden/>
              </w:rPr>
            </w:r>
            <w:r w:rsidR="002E5323">
              <w:rPr>
                <w:noProof/>
                <w:webHidden/>
              </w:rPr>
              <w:fldChar w:fldCharType="separate"/>
            </w:r>
            <w:r w:rsidR="002E5323">
              <w:rPr>
                <w:noProof/>
                <w:webHidden/>
              </w:rPr>
              <w:t>13</w:t>
            </w:r>
            <w:r w:rsidR="002E5323">
              <w:rPr>
                <w:noProof/>
                <w:webHidden/>
              </w:rPr>
              <w:fldChar w:fldCharType="end"/>
            </w:r>
          </w:hyperlink>
        </w:p>
        <w:p w14:paraId="658727CB" w14:textId="12835D92" w:rsidR="008C38EC" w:rsidRDefault="007F3B8D">
          <w:r>
            <w:fldChar w:fldCharType="end"/>
          </w:r>
        </w:p>
      </w:sdtContent>
    </w:sdt>
    <w:p w14:paraId="0D0E8292" w14:textId="77777777" w:rsidR="008C38EC" w:rsidRDefault="007F3B8D">
      <w:pPr>
        <w:spacing w:after="0" w:line="259" w:lineRule="auto"/>
        <w:ind w:left="0" w:right="0" w:firstLine="0"/>
        <w:jc w:val="left"/>
      </w:pPr>
      <w:r>
        <w:t xml:space="preserve"> </w:t>
      </w:r>
      <w:r>
        <w:br w:type="page"/>
      </w:r>
    </w:p>
    <w:p w14:paraId="00B3DD21" w14:textId="77777777" w:rsidR="008C38EC" w:rsidRDefault="007F3B8D">
      <w:pPr>
        <w:pStyle w:val="Heading1"/>
        <w:ind w:left="-5"/>
      </w:pPr>
      <w:bookmarkStart w:id="0" w:name="_Toc146793346"/>
      <w:r>
        <w:lastRenderedPageBreak/>
        <w:t>1 Introduction</w:t>
      </w:r>
      <w:bookmarkEnd w:id="0"/>
      <w:r>
        <w:t xml:space="preserve"> </w:t>
      </w:r>
    </w:p>
    <w:p w14:paraId="49B9AF85" w14:textId="644619BD" w:rsidR="008A780D" w:rsidRPr="00A7097B" w:rsidRDefault="008A780D" w:rsidP="00A7097B">
      <w:pPr>
        <w:ind w:left="628" w:right="4" w:firstLine="0"/>
        <w:rPr>
          <w:i/>
          <w:iCs/>
        </w:rPr>
      </w:pPr>
    </w:p>
    <w:p w14:paraId="54FBB4E2" w14:textId="01135B7B" w:rsidR="00054198" w:rsidRDefault="00A87AF3" w:rsidP="00A87AF3">
      <w:pPr>
        <w:numPr>
          <w:ilvl w:val="0"/>
          <w:numId w:val="1"/>
        </w:numPr>
        <w:ind w:right="4" w:hanging="360"/>
      </w:pPr>
      <w:r>
        <w:t>T</w:t>
      </w:r>
      <w:r w:rsidRPr="00AE5F6E">
        <w:t xml:space="preserve">he </w:t>
      </w:r>
      <w:r w:rsidR="00054198">
        <w:t xml:space="preserve">communications </w:t>
      </w:r>
      <w:r w:rsidRPr="00AE5F6E">
        <w:t>regulatory framework</w:t>
      </w:r>
      <w:r w:rsidR="00054198">
        <w:t>,</w:t>
      </w:r>
      <w:r w:rsidRPr="00AE5F6E">
        <w:t xml:space="preserve"> established by the European Electronic Communications Code (</w:t>
      </w:r>
      <w:r w:rsidRPr="00A7097B">
        <w:t>‘</w:t>
      </w:r>
      <w:r w:rsidRPr="00142201">
        <w:rPr>
          <w:b/>
          <w:bCs/>
        </w:rPr>
        <w:t>EECC</w:t>
      </w:r>
      <w:r w:rsidRPr="00A7097B">
        <w:t>’</w:t>
      </w:r>
      <w:r w:rsidRPr="00AE5F6E">
        <w:t>)</w:t>
      </w:r>
      <w:r w:rsidR="00054198">
        <w:rPr>
          <w:rStyle w:val="FootnoteReference"/>
        </w:rPr>
        <w:footnoteReference w:id="1"/>
      </w:r>
      <w:r w:rsidR="00054198">
        <w:t>,</w:t>
      </w:r>
      <w:r>
        <w:t xml:space="preserve"> w</w:t>
      </w:r>
      <w:r w:rsidRPr="00ED085D">
        <w:t>as transposed</w:t>
      </w:r>
      <w:r>
        <w:t xml:space="preserve">, in part, </w:t>
      </w:r>
      <w:r w:rsidRPr="00ED085D">
        <w:t xml:space="preserve">into Irish law </w:t>
      </w:r>
      <w:r w:rsidR="00C5646E">
        <w:t>by</w:t>
      </w:r>
      <w:r w:rsidRPr="00ED085D">
        <w:t xml:space="preserve"> the European Union (Electronic Communications Code) Regulations 2022, S</w:t>
      </w:r>
      <w:r w:rsidR="00C5646E">
        <w:t>.</w:t>
      </w:r>
      <w:r w:rsidRPr="00ED085D">
        <w:t>I</w:t>
      </w:r>
      <w:r w:rsidR="00C5646E">
        <w:t>.</w:t>
      </w:r>
      <w:r w:rsidRPr="00ED085D">
        <w:t xml:space="preserve"> No.</w:t>
      </w:r>
      <w:r w:rsidR="00C5646E">
        <w:t>,</w:t>
      </w:r>
      <w:r w:rsidRPr="00ED085D">
        <w:t xml:space="preserve"> 444</w:t>
      </w:r>
      <w:r w:rsidR="00C5646E">
        <w:t xml:space="preserve"> of </w:t>
      </w:r>
      <w:r w:rsidRPr="00ED085D">
        <w:t xml:space="preserve">2022 (the </w:t>
      </w:r>
      <w:r w:rsidRPr="00A7097B">
        <w:t>‘</w:t>
      </w:r>
      <w:r w:rsidRPr="00142201">
        <w:rPr>
          <w:b/>
          <w:bCs/>
        </w:rPr>
        <w:t>ECC Regulations’</w:t>
      </w:r>
      <w:r w:rsidRPr="00ED085D">
        <w:t>)</w:t>
      </w:r>
      <w:r>
        <w:t xml:space="preserve">. </w:t>
      </w:r>
    </w:p>
    <w:p w14:paraId="71F46417" w14:textId="1DE5FFCB" w:rsidR="00EE2294" w:rsidRDefault="00A87AF3" w:rsidP="00054198">
      <w:pPr>
        <w:numPr>
          <w:ilvl w:val="0"/>
          <w:numId w:val="1"/>
        </w:numPr>
        <w:ind w:right="4" w:hanging="360"/>
      </w:pPr>
      <w:r>
        <w:t>Regulation 83(2) of the ECC Regulations</w:t>
      </w:r>
      <w:r w:rsidRPr="00FA01EF">
        <w:t xml:space="preserve"> </w:t>
      </w:r>
      <w:r>
        <w:t>replace</w:t>
      </w:r>
      <w:r w:rsidR="00C5646E">
        <w:t>s</w:t>
      </w:r>
      <w:r>
        <w:t xml:space="preserve"> Regulation 23(2) of the European Communities (Electronic Communications Networks and Services) (Universal Service and User’s Rights) Regulations 2011 (the “Universal Service Regulations”)</w:t>
      </w:r>
      <w:r w:rsidR="00054198">
        <w:t xml:space="preserve">.  </w:t>
      </w:r>
      <w:r w:rsidR="00CA78AA">
        <w:t xml:space="preserve">Article 83(2) </w:t>
      </w:r>
      <w:r w:rsidR="00F93B43">
        <w:t xml:space="preserve">of </w:t>
      </w:r>
      <w:r w:rsidR="001B7AB1">
        <w:t xml:space="preserve">the </w:t>
      </w:r>
      <w:bookmarkStart w:id="1" w:name="_Hlk144978237"/>
      <w:r w:rsidR="005D4902">
        <w:t>E</w:t>
      </w:r>
      <w:r w:rsidR="001B7AB1">
        <w:t xml:space="preserve">ECC Regulations </w:t>
      </w:r>
      <w:bookmarkEnd w:id="1"/>
      <w:r w:rsidR="00CA78AA">
        <w:t>states</w:t>
      </w:r>
      <w:r w:rsidR="00EE2294">
        <w:t xml:space="preserve">: </w:t>
      </w:r>
    </w:p>
    <w:p w14:paraId="13D4D2D0" w14:textId="2BC6184B" w:rsidR="00A87AF3" w:rsidRDefault="00FE6C40" w:rsidP="003E6CC4">
      <w:pPr>
        <w:spacing w:after="195" w:line="281" w:lineRule="auto"/>
        <w:ind w:left="812" w:right="4" w:firstLine="0"/>
      </w:pPr>
      <w:r w:rsidRPr="00A7097B">
        <w:rPr>
          <w:i/>
          <w:iCs/>
        </w:rPr>
        <w:t xml:space="preserve">83(2) The Regulator may require providers of public electronic communications networks or publicly available electronic communications services to block, on a </w:t>
      </w:r>
      <w:proofErr w:type="gramStart"/>
      <w:r w:rsidRPr="00A7097B">
        <w:rPr>
          <w:i/>
          <w:iCs/>
        </w:rPr>
        <w:t>case by case</w:t>
      </w:r>
      <w:proofErr w:type="gramEnd"/>
      <w:r w:rsidRPr="00A7097B">
        <w:rPr>
          <w:i/>
          <w:iCs/>
        </w:rPr>
        <w:t xml:space="preserve"> basis, access to numbers or services where this is justified by reason of fraud or misuse and to require that in such cases those providers withhold relevant interconnection or other service revenues.</w:t>
      </w:r>
      <w:r w:rsidR="00F93B43" w:rsidRPr="00A7097B">
        <w:rPr>
          <w:i/>
          <w:iCs/>
        </w:rPr>
        <w:t>”</w:t>
      </w:r>
    </w:p>
    <w:p w14:paraId="3651FA1E" w14:textId="25681277" w:rsidR="008C38EC" w:rsidRDefault="007F3B8D">
      <w:pPr>
        <w:numPr>
          <w:ilvl w:val="0"/>
          <w:numId w:val="1"/>
        </w:numPr>
        <w:ind w:right="4" w:hanging="360"/>
      </w:pPr>
      <w:r>
        <w:t xml:space="preserve">The “Regulator” for these purposes is the Commission for Communications Regulation (“ComReg”). </w:t>
      </w:r>
    </w:p>
    <w:p w14:paraId="01F51D54" w14:textId="348797EC" w:rsidR="008C38EC" w:rsidRDefault="007F3B8D">
      <w:pPr>
        <w:numPr>
          <w:ilvl w:val="0"/>
          <w:numId w:val="1"/>
        </w:numPr>
        <w:spacing w:after="306"/>
        <w:ind w:right="4" w:hanging="360"/>
      </w:pPr>
      <w:r>
        <w:t xml:space="preserve">This Information Note describes </w:t>
      </w:r>
      <w:proofErr w:type="gramStart"/>
      <w:r>
        <w:t>ComReg‘</w:t>
      </w:r>
      <w:proofErr w:type="gramEnd"/>
      <w:r>
        <w:t xml:space="preserve">s policy and the process </w:t>
      </w:r>
      <w:r w:rsidR="00A82BF0">
        <w:t xml:space="preserve">it follows </w:t>
      </w:r>
      <w:r>
        <w:t>for managing cases of fraud or misuse. ComReg will normally adhere to this process</w:t>
      </w:r>
      <w:r w:rsidR="00A82BF0">
        <w:t>,</w:t>
      </w:r>
      <w:r>
        <w:t xml:space="preserve"> but alternative approaches may be used depending on the circumstances of the case. </w:t>
      </w:r>
    </w:p>
    <w:p w14:paraId="5BEF0F18" w14:textId="005C9941" w:rsidR="00D61888" w:rsidRPr="00293C6B" w:rsidRDefault="007F3B8D" w:rsidP="00513A87">
      <w:pPr>
        <w:numPr>
          <w:ilvl w:val="0"/>
          <w:numId w:val="1"/>
        </w:numPr>
        <w:spacing w:after="67"/>
        <w:ind w:right="4" w:hanging="360"/>
      </w:pPr>
      <w:r>
        <w:t xml:space="preserve">Incidents which require the use of Regulation </w:t>
      </w:r>
      <w:r w:rsidR="007B699A">
        <w:t>83</w:t>
      </w:r>
      <w:r>
        <w:t xml:space="preserve">(2) are often cross border in nature and include operators in other Member States and in countries outside the EU. Accordingly, the Body of European Regulators for Electronic Communications (“BEREC”) produced a guidance paper in 2013: </w:t>
      </w:r>
      <w:r w:rsidRPr="00513A87">
        <w:rPr>
          <w:i/>
        </w:rPr>
        <w:t>Article 28(2) Universal Service Directive: a harmonised BEREC cooperation process - BEREC Guidance</w:t>
      </w:r>
      <w:r>
        <w:t xml:space="preserve"> (the “BEREC Guidance Paper”)</w:t>
      </w:r>
      <w:r>
        <w:rPr>
          <w:color w:val="000080"/>
          <w:vertAlign w:val="superscript"/>
        </w:rPr>
        <w:footnoteReference w:id="2"/>
      </w:r>
      <w:r>
        <w:t>.</w:t>
      </w:r>
      <w:r w:rsidRPr="00513A87">
        <w:rPr>
          <w:color w:val="000080"/>
          <w:sz w:val="34"/>
          <w:vertAlign w:val="superscript"/>
        </w:rPr>
        <w:t xml:space="preserve"> </w:t>
      </w:r>
    </w:p>
    <w:p w14:paraId="7B700E54" w14:textId="77777777" w:rsidR="00293C6B" w:rsidRPr="00D61888" w:rsidRDefault="00293C6B" w:rsidP="00293C6B">
      <w:pPr>
        <w:spacing w:after="67"/>
        <w:ind w:left="628" w:right="4" w:firstLine="0"/>
      </w:pPr>
    </w:p>
    <w:p w14:paraId="4608029A" w14:textId="2F205EF5" w:rsidR="00D61888" w:rsidRDefault="007F3B8D" w:rsidP="00D61888">
      <w:pPr>
        <w:numPr>
          <w:ilvl w:val="0"/>
          <w:numId w:val="1"/>
        </w:numPr>
        <w:spacing w:after="67"/>
        <w:ind w:right="4" w:hanging="360"/>
      </w:pPr>
      <w:r>
        <w:t xml:space="preserve">The BEREC Guidance Paper outlines the BEREC process for cross border regulatory cooperation in cases of fraud or misuse which informs this document. </w:t>
      </w:r>
      <w:r w:rsidR="00F95281">
        <w:t>While the BE</w:t>
      </w:r>
      <w:r w:rsidR="00E27C61">
        <w:t>REC guidance</w:t>
      </w:r>
      <w:r w:rsidR="00FA561F">
        <w:t xml:space="preserve"> paper</w:t>
      </w:r>
      <w:r w:rsidR="00E27C61">
        <w:t xml:space="preserve"> relates to Article 28(2)</w:t>
      </w:r>
      <w:r w:rsidR="00FA561F">
        <w:t xml:space="preserve"> of</w:t>
      </w:r>
      <w:r w:rsidR="00E27C61">
        <w:t xml:space="preserve"> Universal Service Directive, ComReg believes th</w:t>
      </w:r>
      <w:r w:rsidR="00FB1E90">
        <w:t>e theme of this</w:t>
      </w:r>
      <w:r w:rsidR="00E27C61">
        <w:t xml:space="preserve"> guidance</w:t>
      </w:r>
      <w:r w:rsidR="00FB1E90">
        <w:t xml:space="preserve"> in principle</w:t>
      </w:r>
      <w:r w:rsidR="00E27C61">
        <w:t xml:space="preserve"> remains relevant. </w:t>
      </w:r>
    </w:p>
    <w:p w14:paraId="63881392" w14:textId="77777777" w:rsidR="00D61888" w:rsidRDefault="00D61888" w:rsidP="00D61888">
      <w:pPr>
        <w:spacing w:after="67"/>
        <w:ind w:left="628" w:right="4" w:firstLine="0"/>
      </w:pPr>
    </w:p>
    <w:p w14:paraId="76759844" w14:textId="10246FBE" w:rsidR="00FA561F" w:rsidRDefault="00137FAA" w:rsidP="00D61888">
      <w:pPr>
        <w:numPr>
          <w:ilvl w:val="0"/>
          <w:numId w:val="1"/>
        </w:numPr>
        <w:spacing w:after="67"/>
        <w:ind w:right="4" w:hanging="360"/>
      </w:pPr>
      <w:r>
        <w:t xml:space="preserve">The link </w:t>
      </w:r>
      <w:r w:rsidR="00AA2BFE">
        <w:t xml:space="preserve">below </w:t>
      </w:r>
      <w:r>
        <w:t>can be used to access the</w:t>
      </w:r>
      <w:r w:rsidR="00AA2BFE">
        <w:t xml:space="preserve"> </w:t>
      </w:r>
      <w:r>
        <w:t>“Misuse” section of ComReg’s website</w:t>
      </w:r>
      <w:r w:rsidR="00D61888">
        <w:t>:</w:t>
      </w:r>
    </w:p>
    <w:p w14:paraId="00AB6A11" w14:textId="55456CC7" w:rsidR="00137FAA" w:rsidRDefault="00597913" w:rsidP="00D61888">
      <w:pPr>
        <w:spacing w:after="67"/>
        <w:ind w:left="628" w:right="4" w:firstLine="0"/>
      </w:pPr>
      <w:hyperlink r:id="rId12" w:history="1">
        <w:r w:rsidR="00D61888" w:rsidRPr="00F72C5D">
          <w:rPr>
            <w:rStyle w:val="Hyperlink"/>
          </w:rPr>
          <w:t>https://www.comreg.ie/industry/electronic-communications/compliance-enforcement/misuse/</w:t>
        </w:r>
      </w:hyperlink>
    </w:p>
    <w:p w14:paraId="7B1047A3" w14:textId="77777777" w:rsidR="00FA561F" w:rsidRDefault="00FA561F" w:rsidP="00137FAA">
      <w:pPr>
        <w:spacing w:after="67"/>
        <w:ind w:left="628" w:right="4" w:firstLine="0"/>
      </w:pPr>
    </w:p>
    <w:p w14:paraId="7395B6A6" w14:textId="60DF8C4F" w:rsidR="00137FAA" w:rsidRDefault="00137FAA" w:rsidP="003E6CC4">
      <w:pPr>
        <w:spacing w:after="67"/>
        <w:ind w:left="628" w:right="4" w:firstLine="0"/>
      </w:pPr>
      <w:r>
        <w:lastRenderedPageBreak/>
        <w:t xml:space="preserve">This </w:t>
      </w:r>
      <w:r w:rsidR="00AA2BFE">
        <w:t xml:space="preserve">section of the website </w:t>
      </w:r>
      <w:proofErr w:type="gramStart"/>
      <w:r>
        <w:t xml:space="preserve">contains </w:t>
      </w:r>
      <w:r w:rsidR="003F6658">
        <w:t>:</w:t>
      </w:r>
      <w:proofErr w:type="gramEnd"/>
    </w:p>
    <w:p w14:paraId="1FA5B9D6" w14:textId="135421B4" w:rsidR="00412A59" w:rsidRDefault="00412A59" w:rsidP="00137FAA">
      <w:pPr>
        <w:numPr>
          <w:ilvl w:val="1"/>
          <w:numId w:val="1"/>
        </w:numPr>
        <w:spacing w:after="67"/>
        <w:ind w:right="4" w:hanging="360"/>
      </w:pPr>
      <w:r>
        <w:t>The full Regulation 83(2) Operators Information Note</w:t>
      </w:r>
    </w:p>
    <w:p w14:paraId="3F50AF2B" w14:textId="0B2B854E" w:rsidR="00137FAA" w:rsidRDefault="00137FAA" w:rsidP="00137FAA">
      <w:pPr>
        <w:numPr>
          <w:ilvl w:val="1"/>
          <w:numId w:val="1"/>
        </w:numPr>
        <w:spacing w:after="67"/>
        <w:ind w:right="4" w:hanging="360"/>
      </w:pPr>
      <w:r>
        <w:t xml:space="preserve">A summary </w:t>
      </w:r>
      <w:r w:rsidR="00412A59">
        <w:t>of ComReg’s powers relating to the Misuse process</w:t>
      </w:r>
    </w:p>
    <w:p w14:paraId="196D961C" w14:textId="1E7D3D6B" w:rsidR="00412A59" w:rsidRDefault="00412A59" w:rsidP="00137FAA">
      <w:pPr>
        <w:numPr>
          <w:ilvl w:val="1"/>
          <w:numId w:val="1"/>
        </w:numPr>
        <w:spacing w:after="67"/>
        <w:ind w:right="4" w:hanging="360"/>
      </w:pPr>
      <w:r>
        <w:t>Advice to PBX owners</w:t>
      </w:r>
    </w:p>
    <w:p w14:paraId="45A9F768" w14:textId="45997D52" w:rsidR="00412A59" w:rsidRDefault="00412A59" w:rsidP="00FA561F">
      <w:pPr>
        <w:numPr>
          <w:ilvl w:val="1"/>
          <w:numId w:val="1"/>
        </w:numPr>
        <w:spacing w:after="67"/>
        <w:ind w:right="4" w:hanging="360"/>
      </w:pPr>
      <w:r>
        <w:t>The Operator Misuse Notification Form</w:t>
      </w:r>
    </w:p>
    <w:p w14:paraId="338DCE12" w14:textId="77777777" w:rsidR="00B80892" w:rsidRDefault="00B80892" w:rsidP="003E6CC4">
      <w:pPr>
        <w:ind w:left="0" w:firstLine="0"/>
      </w:pPr>
    </w:p>
    <w:p w14:paraId="2CCA1F3F" w14:textId="3ED1D736" w:rsidR="008C38EC" w:rsidRDefault="007F3B8D">
      <w:pPr>
        <w:pStyle w:val="Heading1"/>
        <w:spacing w:after="25"/>
        <w:ind w:left="-5"/>
        <w:rPr>
          <w:color w:val="000080"/>
        </w:rPr>
      </w:pPr>
      <w:bookmarkStart w:id="2" w:name="_Toc146793347"/>
      <w:r>
        <w:t>2 Background</w:t>
      </w:r>
      <w:bookmarkEnd w:id="2"/>
      <w:r>
        <w:rPr>
          <w:color w:val="000080"/>
        </w:rPr>
        <w:t xml:space="preserve"> </w:t>
      </w:r>
    </w:p>
    <w:p w14:paraId="1339FA40" w14:textId="77777777" w:rsidR="00D61888" w:rsidRPr="00D61888" w:rsidRDefault="00D61888" w:rsidP="00D61888"/>
    <w:p w14:paraId="611D8628" w14:textId="3AF44737" w:rsidR="008C38EC" w:rsidRDefault="007F3B8D" w:rsidP="003E6CC4">
      <w:pPr>
        <w:numPr>
          <w:ilvl w:val="0"/>
          <w:numId w:val="1"/>
        </w:numPr>
        <w:ind w:right="4" w:hanging="360"/>
      </w:pPr>
      <w:r>
        <w:t>ComReg, by intervening in cases of misuse, aim</w:t>
      </w:r>
      <w:r w:rsidR="007B699A">
        <w:t>s</w:t>
      </w:r>
      <w:r>
        <w:t xml:space="preserve"> to protect end-users, and in some circumstances Operators, from exposure to the financial liability that occurs </w:t>
      </w:r>
      <w:proofErr w:type="gramStart"/>
      <w:r>
        <w:t>as a result of</w:t>
      </w:r>
      <w:proofErr w:type="gramEnd"/>
      <w:r>
        <w:t xml:space="preserve"> the alleged fraud or misuse.  </w:t>
      </w:r>
    </w:p>
    <w:p w14:paraId="44B0974E" w14:textId="632FA1D2" w:rsidR="008C38EC" w:rsidRDefault="007F3B8D" w:rsidP="003E6CC4">
      <w:pPr>
        <w:numPr>
          <w:ilvl w:val="0"/>
          <w:numId w:val="1"/>
        </w:numPr>
        <w:spacing w:after="33"/>
        <w:ind w:right="4" w:hanging="360"/>
      </w:pPr>
      <w:r>
        <w:t xml:space="preserve">In deciding whether an incident constitutes a fraud or misuse within the meaning of Regulation </w:t>
      </w:r>
      <w:r w:rsidR="006F7C29">
        <w:t>8</w:t>
      </w:r>
      <w:r w:rsidR="00ED0B86">
        <w:t>3</w:t>
      </w:r>
      <w:r>
        <w:t xml:space="preserve">(2), ComReg is guided by the </w:t>
      </w:r>
      <w:r w:rsidRPr="00293C6B">
        <w:t>BEREC Guidance Paper.</w:t>
      </w:r>
      <w:r>
        <w:t xml:space="preserve"> As noted in the</w:t>
      </w:r>
    </w:p>
    <w:p w14:paraId="45A95EF5" w14:textId="0E697FCE" w:rsidR="008C38EC" w:rsidRDefault="007F3B8D">
      <w:pPr>
        <w:spacing w:after="195" w:line="281" w:lineRule="auto"/>
        <w:ind w:left="653" w:right="-8" w:hanging="10"/>
      </w:pPr>
      <w:r>
        <w:t xml:space="preserve">BEREC Guidance Paper, </w:t>
      </w:r>
      <w:r>
        <w:rPr>
          <w:i/>
        </w:rPr>
        <w:t>“neither of the terms “fraud” nor “misuse” were specifically defined within the Universal Service Directive”.</w:t>
      </w:r>
      <w:r>
        <w:t xml:space="preserve"> The BEREC Guidance Paper goes on to state that </w:t>
      </w:r>
      <w:r>
        <w:rPr>
          <w:i/>
        </w:rPr>
        <w:t>“for this purpose, and for the purposes of providing guidance in the context of Article 28(2) USD</w:t>
      </w:r>
      <w:r w:rsidR="0023119B">
        <w:rPr>
          <w:rStyle w:val="FootnoteReference"/>
          <w:i/>
        </w:rPr>
        <w:footnoteReference w:id="3"/>
      </w:r>
      <w:r>
        <w:rPr>
          <w:i/>
        </w:rPr>
        <w:t xml:space="preserve"> and without prejudice to new forms of fraud or misuse that could appear in the future, a non-exhaustive list of situations dealt with by operators and authorities that could qualify as fraud or misuse can be illustrated by the following examples…”</w:t>
      </w:r>
      <w:r>
        <w:t xml:space="preserve">.  </w:t>
      </w:r>
    </w:p>
    <w:p w14:paraId="0DACABC2" w14:textId="77777777" w:rsidR="008C38EC" w:rsidRDefault="007F3B8D" w:rsidP="003E6CC4">
      <w:pPr>
        <w:numPr>
          <w:ilvl w:val="0"/>
          <w:numId w:val="1"/>
        </w:numPr>
        <w:ind w:right="4" w:hanging="360"/>
      </w:pPr>
      <w:r>
        <w:t xml:space="preserve">The following examples are provided in the BEREC guidance paper: </w:t>
      </w:r>
    </w:p>
    <w:p w14:paraId="3445E148" w14:textId="77777777" w:rsidR="008C38EC" w:rsidRDefault="007F3B8D">
      <w:pPr>
        <w:numPr>
          <w:ilvl w:val="1"/>
          <w:numId w:val="2"/>
        </w:numPr>
        <w:ind w:right="4" w:hanging="360"/>
      </w:pPr>
      <w:r>
        <w:t>Use of numbering intended for an end-user for the provision of services not included in the national numbering plan (</w:t>
      </w:r>
      <w:proofErr w:type="gramStart"/>
      <w:r>
        <w:t>e.g.</w:t>
      </w:r>
      <w:proofErr w:type="gramEnd"/>
      <w:r>
        <w:t xml:space="preserve"> auto-dialling); </w:t>
      </w:r>
    </w:p>
    <w:p w14:paraId="77E05CA5" w14:textId="77777777" w:rsidR="008C38EC" w:rsidRDefault="007F3B8D">
      <w:pPr>
        <w:numPr>
          <w:ilvl w:val="1"/>
          <w:numId w:val="2"/>
        </w:numPr>
        <w:ind w:right="4" w:hanging="360"/>
      </w:pPr>
      <w:r>
        <w:t>The use of an unallocated number by a party without the consent of the allocating entity (</w:t>
      </w:r>
      <w:proofErr w:type="gramStart"/>
      <w:r>
        <w:t>e.g.</w:t>
      </w:r>
      <w:proofErr w:type="gramEnd"/>
      <w:r>
        <w:t xml:space="preserve"> short-stopping in the same country, in another EU country or beyond EU borders); </w:t>
      </w:r>
    </w:p>
    <w:p w14:paraId="754F2FCE" w14:textId="77777777" w:rsidR="008C38EC" w:rsidRDefault="007F3B8D">
      <w:pPr>
        <w:numPr>
          <w:ilvl w:val="1"/>
          <w:numId w:val="2"/>
        </w:numPr>
        <w:ind w:right="4" w:hanging="360"/>
      </w:pPr>
      <w:r>
        <w:t>The use of a number by a third party to whom the number was not allocated, without the consent of the party to whom it was allocated (</w:t>
      </w:r>
      <w:proofErr w:type="gramStart"/>
      <w:r>
        <w:t>e.g.</w:t>
      </w:r>
      <w:proofErr w:type="gramEnd"/>
      <w:r>
        <w:t xml:space="preserve"> phone hijacking, or PBX hacking); </w:t>
      </w:r>
    </w:p>
    <w:p w14:paraId="79E9FA6D" w14:textId="77777777" w:rsidR="008C38EC" w:rsidRDefault="007F3B8D">
      <w:pPr>
        <w:numPr>
          <w:ilvl w:val="1"/>
          <w:numId w:val="2"/>
        </w:numPr>
        <w:ind w:right="4" w:hanging="360"/>
      </w:pPr>
      <w:r>
        <w:t>The generation of a call with a Calling Line Identifier (A-number) which is also used for premium rate services and when subsequently used by the called party it results in an inappropriate cost to the original called party (</w:t>
      </w:r>
      <w:proofErr w:type="spellStart"/>
      <w:r>
        <w:t>Wangiri</w:t>
      </w:r>
      <w:proofErr w:type="spellEnd"/>
      <w:r>
        <w:t xml:space="preserve"> fraud</w:t>
      </w:r>
      <w:proofErr w:type="gramStart"/>
      <w:r>
        <w:t>);</w:t>
      </w:r>
      <w:proofErr w:type="gramEnd"/>
      <w:r>
        <w:t xml:space="preserve"> </w:t>
      </w:r>
    </w:p>
    <w:p w14:paraId="20392CE6" w14:textId="77777777" w:rsidR="008C38EC" w:rsidRDefault="007F3B8D">
      <w:pPr>
        <w:numPr>
          <w:ilvl w:val="1"/>
          <w:numId w:val="2"/>
        </w:numPr>
        <w:spacing w:after="7"/>
        <w:ind w:right="4" w:hanging="360"/>
      </w:pPr>
      <w:r>
        <w:t xml:space="preserve">The use of an allocated number without obeying transparency obligation (e.g. </w:t>
      </w:r>
    </w:p>
    <w:p w14:paraId="4C7C2C6D" w14:textId="77777777" w:rsidR="008C38EC" w:rsidRDefault="007F3B8D">
      <w:pPr>
        <w:spacing w:after="241"/>
        <w:ind w:left="1277" w:right="4" w:firstLine="0"/>
      </w:pPr>
      <w:r>
        <w:t>omit or include an inadequate warning of the tariff, price announcement</w:t>
      </w:r>
      <w:proofErr w:type="gramStart"/>
      <w:r>
        <w:t>);</w:t>
      </w:r>
      <w:proofErr w:type="gramEnd"/>
      <w:r>
        <w:t xml:space="preserve"> </w:t>
      </w:r>
    </w:p>
    <w:p w14:paraId="52C12644" w14:textId="77777777" w:rsidR="008C38EC" w:rsidRDefault="007F3B8D">
      <w:pPr>
        <w:numPr>
          <w:ilvl w:val="1"/>
          <w:numId w:val="2"/>
        </w:numPr>
        <w:spacing w:after="243"/>
        <w:ind w:right="4" w:hanging="360"/>
      </w:pPr>
      <w:r>
        <w:t xml:space="preserve">Artificial inflation of traffic (“AIT”) or causing AIT. </w:t>
      </w:r>
    </w:p>
    <w:p w14:paraId="56E5E248" w14:textId="6CFFCA47" w:rsidR="008C38EC" w:rsidRDefault="007F3B8D" w:rsidP="003E6CC4">
      <w:pPr>
        <w:numPr>
          <w:ilvl w:val="0"/>
          <w:numId w:val="1"/>
        </w:numPr>
        <w:ind w:right="4" w:hanging="360"/>
      </w:pPr>
      <w:proofErr w:type="gramStart"/>
      <w:r>
        <w:lastRenderedPageBreak/>
        <w:t>The majority of</w:t>
      </w:r>
      <w:proofErr w:type="gramEnd"/>
      <w:r>
        <w:t xml:space="preserve"> incidents that are brought to ComReg’s attention relate to PBX hacking. This type of incident typically involves a </w:t>
      </w:r>
      <w:proofErr w:type="gramStart"/>
      <w:r>
        <w:t>third party</w:t>
      </w:r>
      <w:proofErr w:type="gramEnd"/>
      <w:r>
        <w:t xml:space="preserve"> hacking into a business telephone system (PBX) and causing high volumes of outgoing calls to be made to international destinations with high termination rates. The third party will usually receive a payment for the calls being terminated on these numbers. </w:t>
      </w:r>
    </w:p>
    <w:p w14:paraId="2BFFF955" w14:textId="77777777" w:rsidR="00D61888" w:rsidRDefault="00D61888" w:rsidP="00D61888">
      <w:pPr>
        <w:ind w:left="628" w:right="4" w:firstLine="0"/>
      </w:pPr>
    </w:p>
    <w:p w14:paraId="4C26CD5B" w14:textId="3B87C655" w:rsidR="008C38EC" w:rsidRDefault="007F3B8D">
      <w:pPr>
        <w:pStyle w:val="Heading1"/>
        <w:ind w:left="417" w:hanging="432"/>
      </w:pPr>
      <w:bookmarkStart w:id="3" w:name="_Toc146793348"/>
      <w:r>
        <w:t xml:space="preserve">3 Objective of </w:t>
      </w:r>
      <w:r w:rsidR="00F93B43">
        <w:t xml:space="preserve">the </w:t>
      </w:r>
      <w:r>
        <w:t xml:space="preserve">Regulation </w:t>
      </w:r>
      <w:r w:rsidR="0023119B">
        <w:t>8</w:t>
      </w:r>
      <w:r w:rsidR="006F7C29">
        <w:t>3</w:t>
      </w:r>
      <w:r>
        <w:t>(2) Process</w:t>
      </w:r>
      <w:bookmarkEnd w:id="3"/>
      <w:r>
        <w:t xml:space="preserve"> </w:t>
      </w:r>
    </w:p>
    <w:p w14:paraId="62D077C1" w14:textId="77777777" w:rsidR="00D61888" w:rsidRPr="00D61888" w:rsidRDefault="00D61888" w:rsidP="00D61888"/>
    <w:p w14:paraId="07A0F6CD" w14:textId="5A7A785E" w:rsidR="008C38EC" w:rsidRDefault="007F3B8D">
      <w:pPr>
        <w:numPr>
          <w:ilvl w:val="0"/>
          <w:numId w:val="3"/>
        </w:numPr>
        <w:ind w:right="4" w:hanging="360"/>
      </w:pPr>
      <w:r>
        <w:t xml:space="preserve">ComReg will primarily use its Regulation </w:t>
      </w:r>
      <w:r w:rsidR="00ED0B86">
        <w:t>83</w:t>
      </w:r>
      <w:r>
        <w:t>(2) powers for the purpose of protecting end-users. ComReg aims to protect end-users from the financial losses associated with misuse incidents. In addition</w:t>
      </w:r>
      <w:r w:rsidR="00EB18CB">
        <w:t>,</w:t>
      </w:r>
      <w:r>
        <w:t xml:space="preserve"> it is hoped that ComReg’s actions, with the assistance of industry using a coordinated approach, will reduce the number and impact of incidents in the future. </w:t>
      </w:r>
    </w:p>
    <w:p w14:paraId="4528C8AD" w14:textId="77777777" w:rsidR="008C38EC" w:rsidRDefault="007F3B8D">
      <w:pPr>
        <w:numPr>
          <w:ilvl w:val="0"/>
          <w:numId w:val="3"/>
        </w:numPr>
        <w:ind w:right="4" w:hanging="360"/>
      </w:pPr>
      <w:r>
        <w:t xml:space="preserve">There can be difficulties in operators seeking to recover the costs of calls associated with fraud or misuse cases where payments have already been made, due to contractual issues. ComReg recommends that operators review their interconnection agreements with their interconnect operators such that the charges can be stopped and/or reimbursed. Such changes may negate the requirement for regulatory intervention in the future and could assist with disrupting the flow of money to the perpetrator(s) of fraud and/or misuse. </w:t>
      </w:r>
    </w:p>
    <w:p w14:paraId="48A76326" w14:textId="53485103" w:rsidR="008C38EC" w:rsidRDefault="007F3B8D">
      <w:pPr>
        <w:numPr>
          <w:ilvl w:val="0"/>
          <w:numId w:val="3"/>
        </w:numPr>
        <w:ind w:right="4" w:hanging="360"/>
      </w:pPr>
      <w:r>
        <w:t xml:space="preserve">It would not be practical or proportionate for ComReg to intervene in all incidents, and in accordance with the BEREC Guidance Paper, consideration will be given to </w:t>
      </w:r>
      <w:proofErr w:type="gramStart"/>
      <w:r>
        <w:t>a number of</w:t>
      </w:r>
      <w:proofErr w:type="gramEnd"/>
      <w:r>
        <w:t xml:space="preserve"> factors, including the financial impact of the incident, when considering whether to intervene. Therefore</w:t>
      </w:r>
      <w:r w:rsidR="00311492">
        <w:t>,</w:t>
      </w:r>
      <w:r>
        <w:t xml:space="preserve"> ComReg will consider, on a </w:t>
      </w:r>
      <w:proofErr w:type="gramStart"/>
      <w:r>
        <w:t>case by case</w:t>
      </w:r>
      <w:proofErr w:type="gramEnd"/>
      <w:r>
        <w:t xml:space="preserve"> basis, whether the use of Regulation </w:t>
      </w:r>
      <w:r w:rsidR="00F93B43">
        <w:t>8</w:t>
      </w:r>
      <w:r>
        <w:t xml:space="preserve">3(2) is practical and proportionate. </w:t>
      </w:r>
    </w:p>
    <w:p w14:paraId="58937B86" w14:textId="6B655F8E" w:rsidR="008C38EC" w:rsidRDefault="007F3B8D">
      <w:pPr>
        <w:numPr>
          <w:ilvl w:val="0"/>
          <w:numId w:val="3"/>
        </w:numPr>
        <w:ind w:right="4" w:hanging="360"/>
      </w:pPr>
      <w:r>
        <w:t>ComReg wishes to raise awareness of misuse and fraud incidents among end-users and operators with a view to enhancing security measures on end-users</w:t>
      </w:r>
      <w:r w:rsidR="00901676">
        <w:t>’</w:t>
      </w:r>
      <w:r>
        <w:t xml:space="preserve"> equipment and enhancing monitoring systems by operators.</w:t>
      </w:r>
      <w:r>
        <w:rPr>
          <w:color w:val="000080"/>
          <w:sz w:val="20"/>
          <w:vertAlign w:val="superscript"/>
        </w:rPr>
        <w:footnoteReference w:id="4"/>
      </w:r>
      <w:r>
        <w:rPr>
          <w:color w:val="000080"/>
          <w:sz w:val="18"/>
          <w:vertAlign w:val="superscript"/>
        </w:rPr>
        <w:t xml:space="preserve"> </w:t>
      </w:r>
      <w:r>
        <w:t xml:space="preserve"> </w:t>
      </w:r>
    </w:p>
    <w:p w14:paraId="7B89AC70" w14:textId="77777777" w:rsidR="00293C6B" w:rsidRDefault="00293C6B">
      <w:pPr>
        <w:spacing w:after="160" w:line="259" w:lineRule="auto"/>
        <w:ind w:left="0" w:right="0" w:firstLine="0"/>
        <w:jc w:val="left"/>
        <w:rPr>
          <w:b/>
          <w:color w:val="165EA8"/>
          <w:sz w:val="48"/>
        </w:rPr>
      </w:pPr>
      <w:r>
        <w:br w:type="page"/>
      </w:r>
    </w:p>
    <w:p w14:paraId="2CF6B1E7" w14:textId="5BA59D20" w:rsidR="008C38EC" w:rsidRDefault="007F3B8D">
      <w:pPr>
        <w:pStyle w:val="Heading1"/>
        <w:ind w:left="417" w:hanging="432"/>
      </w:pPr>
      <w:bookmarkStart w:id="4" w:name="_Toc146793349"/>
      <w:r>
        <w:lastRenderedPageBreak/>
        <w:t>4 Considerations for intervention in misuse cases</w:t>
      </w:r>
      <w:bookmarkEnd w:id="4"/>
      <w:r>
        <w:t xml:space="preserve"> </w:t>
      </w:r>
    </w:p>
    <w:p w14:paraId="0F13A5D1" w14:textId="1C32CCA8" w:rsidR="008C38EC" w:rsidRDefault="007F3B8D">
      <w:pPr>
        <w:spacing w:after="227"/>
        <w:ind w:left="636" w:right="4"/>
      </w:pPr>
      <w:r>
        <w:t xml:space="preserve">16. In </w:t>
      </w:r>
      <w:proofErr w:type="gramStart"/>
      <w:r>
        <w:t>making a decision</w:t>
      </w:r>
      <w:proofErr w:type="gramEnd"/>
      <w:r>
        <w:t xml:space="preserve"> to use its Regulation </w:t>
      </w:r>
      <w:r w:rsidR="00ED0B86">
        <w:t>83</w:t>
      </w:r>
      <w:r>
        <w:t>(2) powers, ComReg will consider among other things,</w:t>
      </w:r>
      <w:r>
        <w:rPr>
          <w:color w:val="000080"/>
          <w:sz w:val="18"/>
          <w:vertAlign w:val="superscript"/>
        </w:rPr>
        <w:t xml:space="preserve"> </w:t>
      </w:r>
      <w:r>
        <w:t xml:space="preserve">the following: </w:t>
      </w:r>
    </w:p>
    <w:p w14:paraId="7FCCED8E" w14:textId="77777777" w:rsidR="008C38EC" w:rsidRDefault="007F3B8D">
      <w:pPr>
        <w:numPr>
          <w:ilvl w:val="0"/>
          <w:numId w:val="4"/>
        </w:numPr>
        <w:ind w:right="4" w:hanging="360"/>
      </w:pPr>
      <w:r>
        <w:t xml:space="preserve">Economic Thresholds </w:t>
      </w:r>
    </w:p>
    <w:p w14:paraId="73C26E59" w14:textId="77777777" w:rsidR="008C38EC" w:rsidRDefault="007F3B8D">
      <w:pPr>
        <w:numPr>
          <w:ilvl w:val="0"/>
          <w:numId w:val="4"/>
        </w:numPr>
        <w:ind w:right="4" w:hanging="360"/>
      </w:pPr>
      <w:r>
        <w:t xml:space="preserve">Timeliness of reporting </w:t>
      </w:r>
    </w:p>
    <w:p w14:paraId="05103FA7" w14:textId="77777777" w:rsidR="008C38EC" w:rsidRDefault="007F3B8D">
      <w:pPr>
        <w:numPr>
          <w:ilvl w:val="0"/>
          <w:numId w:val="4"/>
        </w:numPr>
        <w:ind w:right="4" w:hanging="360"/>
      </w:pPr>
      <w:r>
        <w:t xml:space="preserve">Whether the end-user has made a complaint to </w:t>
      </w:r>
      <w:proofErr w:type="gramStart"/>
      <w:r>
        <w:t>An</w:t>
      </w:r>
      <w:proofErr w:type="gramEnd"/>
      <w:r>
        <w:t xml:space="preserve"> Garda Síochána</w:t>
      </w:r>
      <w:r>
        <w:rPr>
          <w:sz w:val="24"/>
        </w:rPr>
        <w:t xml:space="preserve"> </w:t>
      </w:r>
    </w:p>
    <w:p w14:paraId="5B668BC2" w14:textId="77777777" w:rsidR="008C38EC" w:rsidRDefault="007F3B8D">
      <w:pPr>
        <w:numPr>
          <w:ilvl w:val="0"/>
          <w:numId w:val="4"/>
        </w:numPr>
        <w:ind w:right="4" w:hanging="360"/>
      </w:pPr>
      <w:r>
        <w:t xml:space="preserve">End-user protection </w:t>
      </w:r>
    </w:p>
    <w:p w14:paraId="080C841F" w14:textId="77777777" w:rsidR="008C38EC" w:rsidRDefault="007F3B8D">
      <w:pPr>
        <w:spacing w:after="296"/>
        <w:ind w:left="566" w:right="4" w:firstLine="0"/>
      </w:pPr>
      <w:r>
        <w:t xml:space="preserve">These are described in the following sections. </w:t>
      </w:r>
    </w:p>
    <w:p w14:paraId="6335494A" w14:textId="77777777" w:rsidR="008C38EC" w:rsidRDefault="007F3B8D">
      <w:pPr>
        <w:pStyle w:val="Heading3"/>
        <w:ind w:left="-5"/>
      </w:pPr>
      <w:r>
        <w:t xml:space="preserve">4.1 Economic thresholds </w:t>
      </w:r>
    </w:p>
    <w:p w14:paraId="0E498649" w14:textId="0A0B2B01" w:rsidR="008C38EC" w:rsidRDefault="007F3B8D">
      <w:pPr>
        <w:numPr>
          <w:ilvl w:val="0"/>
          <w:numId w:val="5"/>
        </w:numPr>
        <w:ind w:right="4" w:hanging="360"/>
      </w:pPr>
      <w:r>
        <w:t xml:space="preserve">In line with the BEREC guidance paper, it may not be proportionate for ComReg to intervene in cases where the total wholesale costs for the incident, payable by the retail service provider, are less than €5,000. Where the total wholesale costs are below this level, ComReg may consider intervention where the total wholesale costs exceed a factor of [3] times the relevant end-user’s normal bill but not if the costs are below €1,500. Below €1,500 ComReg </w:t>
      </w:r>
      <w:r w:rsidR="00891074">
        <w:t xml:space="preserve">will consider the circumstances of the incident and </w:t>
      </w:r>
      <w:r>
        <w:t xml:space="preserve">may decide that it is not appropriate to intervene under Regulation </w:t>
      </w:r>
      <w:r w:rsidR="00ED0B86">
        <w:t>83</w:t>
      </w:r>
      <w:r>
        <w:t xml:space="preserve">(2). </w:t>
      </w:r>
    </w:p>
    <w:p w14:paraId="35B14F4C" w14:textId="2104CE42" w:rsidR="008C38EC" w:rsidRDefault="007F3B8D">
      <w:pPr>
        <w:numPr>
          <w:ilvl w:val="0"/>
          <w:numId w:val="5"/>
        </w:numPr>
        <w:spacing w:after="334"/>
        <w:ind w:right="4" w:hanging="360"/>
      </w:pPr>
      <w:r>
        <w:t>Additionally, in line with BEREC guidance, when determining whether to intervene for an individual transit operator</w:t>
      </w:r>
      <w:r>
        <w:rPr>
          <w:color w:val="000080"/>
          <w:vertAlign w:val="superscript"/>
        </w:rPr>
        <w:footnoteReference w:id="5"/>
      </w:r>
      <w:r>
        <w:t xml:space="preserve">, ComReg may consider the amount to be withheld by an individual operator relative to any evidence provided by an operator regarding the administrative cost of withholding. This will be dealt with on a case-by-case basis. This consideration will have due regard to the overall objectives of end-user protection and blocking of revenues to the hacker. If ComReg does not intervene in relation to one or more transit operators, the wholesale costs of those operators will still be considered when determining whether the overall wholesale costs for the incident exceeds the €5,000 threshold. </w:t>
      </w:r>
    </w:p>
    <w:p w14:paraId="6E3BF9F6" w14:textId="77777777" w:rsidR="008C38EC" w:rsidRDefault="007F3B8D">
      <w:pPr>
        <w:pStyle w:val="Heading3"/>
        <w:ind w:left="-5"/>
      </w:pPr>
      <w:r>
        <w:t>4.2 Timeliness of reporting</w:t>
      </w:r>
      <w:r>
        <w:rPr>
          <w:color w:val="000080"/>
        </w:rPr>
        <w:t xml:space="preserve"> </w:t>
      </w:r>
    </w:p>
    <w:p w14:paraId="0DF14D07" w14:textId="77777777" w:rsidR="008C38EC" w:rsidRDefault="007F3B8D">
      <w:pPr>
        <w:numPr>
          <w:ilvl w:val="0"/>
          <w:numId w:val="6"/>
        </w:numPr>
        <w:ind w:right="4" w:hanging="360"/>
      </w:pPr>
      <w:r>
        <w:t xml:space="preserve">All misuse incidents should be reported by the retail operator to ComReg using </w:t>
      </w:r>
      <w:r>
        <w:rPr>
          <w:color w:val="0000FF"/>
          <w:u w:val="single" w:color="0000FF"/>
        </w:rPr>
        <w:t>misuse@comreg.ie</w:t>
      </w:r>
      <w:r>
        <w:t xml:space="preserve">, without undue delay, but no later than 15 days following detection of the incident. </w:t>
      </w:r>
    </w:p>
    <w:p w14:paraId="7D24C65A" w14:textId="4352D9F1" w:rsidR="008C38EC" w:rsidRDefault="007F3B8D">
      <w:pPr>
        <w:numPr>
          <w:ilvl w:val="0"/>
          <w:numId w:val="6"/>
        </w:numPr>
        <w:ind w:right="4" w:hanging="360"/>
      </w:pPr>
      <w:r>
        <w:t>The effectiveness of any intervention by ComReg may be negatively impacted by delays in reporting the incident or providing the relevant information</w:t>
      </w:r>
      <w:r w:rsidR="000532AE">
        <w:t xml:space="preserve">. The frequency of </w:t>
      </w:r>
      <w:r w:rsidR="000532AE">
        <w:lastRenderedPageBreak/>
        <w:t xml:space="preserve">paying </w:t>
      </w:r>
      <w:r w:rsidR="00861535">
        <w:t>revenues to onward operators</w:t>
      </w:r>
      <w:r w:rsidR="000532AE">
        <w:t xml:space="preserve"> will obviously impact on the ability to withhold revenues.</w:t>
      </w:r>
      <w:r w:rsidR="00861535">
        <w:t xml:space="preserve">  </w:t>
      </w:r>
    </w:p>
    <w:p w14:paraId="06DA6F79" w14:textId="7812E4D9" w:rsidR="008C38EC" w:rsidRDefault="007F3B8D">
      <w:pPr>
        <w:numPr>
          <w:ilvl w:val="0"/>
          <w:numId w:val="6"/>
        </w:numPr>
        <w:spacing w:after="297"/>
        <w:ind w:right="4" w:hanging="360"/>
      </w:pPr>
      <w:r>
        <w:t>The inability to stop all payments within the interconnect payment chain may not be a proportionate reason to prevent ComReg intervening in a case of misuse. However</w:t>
      </w:r>
      <w:r w:rsidR="00F64BCB">
        <w:t>,</w:t>
      </w:r>
      <w:r>
        <w:t xml:space="preserve"> any preventable delays in providing information to ComReg will be considered when deciding </w:t>
      </w:r>
      <w:proofErr w:type="gramStart"/>
      <w:r>
        <w:t>whether or not</w:t>
      </w:r>
      <w:proofErr w:type="gramEnd"/>
      <w:r>
        <w:t xml:space="preserve"> to intervene. ComReg will consider each case on its individual merits.  </w:t>
      </w:r>
    </w:p>
    <w:p w14:paraId="04F32357" w14:textId="77777777" w:rsidR="008C38EC" w:rsidRDefault="007F3B8D">
      <w:pPr>
        <w:pStyle w:val="Heading3"/>
        <w:spacing w:after="199"/>
        <w:ind w:left="563" w:hanging="578"/>
      </w:pPr>
      <w:r>
        <w:t xml:space="preserve">4.3 Whether the end-user has made a complaint to </w:t>
      </w:r>
      <w:proofErr w:type="gramStart"/>
      <w:r>
        <w:t>An</w:t>
      </w:r>
      <w:proofErr w:type="gramEnd"/>
      <w:r>
        <w:t xml:space="preserve"> Garda Síochána </w:t>
      </w:r>
    </w:p>
    <w:p w14:paraId="7E9F84C9" w14:textId="7B8B82CF" w:rsidR="008C38EC" w:rsidRDefault="007F3B8D">
      <w:pPr>
        <w:spacing w:after="260"/>
        <w:ind w:left="636" w:right="4"/>
      </w:pPr>
      <w:r>
        <w:t xml:space="preserve">22. </w:t>
      </w:r>
      <w:r>
        <w:rPr>
          <w:sz w:val="24"/>
        </w:rPr>
        <w:t>T</w:t>
      </w:r>
      <w:r>
        <w:t xml:space="preserve">he </w:t>
      </w:r>
      <w:r w:rsidR="00201E6C">
        <w:t xml:space="preserve">Service Provider should advise the </w:t>
      </w:r>
      <w:r>
        <w:t xml:space="preserve">end-user to contact </w:t>
      </w:r>
      <w:proofErr w:type="gramStart"/>
      <w:r>
        <w:t>An</w:t>
      </w:r>
      <w:proofErr w:type="gramEnd"/>
      <w:r>
        <w:t xml:space="preserve"> Garda Síochána to report the incident without undue delay. The end-user will be provided with a Gardaí PULSE number which should be submitted by the Operator when reporting an incident to ComReg, or as soon as possible thereafter. Failure to report a matter to the Gardaí will prevent ComReg investigating a case under Regulation </w:t>
      </w:r>
      <w:r w:rsidR="00ED0B86">
        <w:t>83</w:t>
      </w:r>
      <w:r>
        <w:t xml:space="preserve">(2).  </w:t>
      </w:r>
    </w:p>
    <w:p w14:paraId="48B61E76" w14:textId="77777777" w:rsidR="008C38EC" w:rsidRDefault="007F3B8D">
      <w:pPr>
        <w:pStyle w:val="Heading4"/>
        <w:ind w:left="573"/>
      </w:pPr>
      <w:r>
        <w:t xml:space="preserve">4.4 Whether the end-user has experienced previous incidents of </w:t>
      </w:r>
      <w:proofErr w:type="gramStart"/>
      <w:r>
        <w:t>misuse</w:t>
      </w:r>
      <w:proofErr w:type="gramEnd"/>
      <w:r>
        <w:t xml:space="preserve"> </w:t>
      </w:r>
    </w:p>
    <w:p w14:paraId="0DBB700F" w14:textId="77777777" w:rsidR="008C38EC" w:rsidRDefault="007F3B8D">
      <w:pPr>
        <w:numPr>
          <w:ilvl w:val="0"/>
          <w:numId w:val="7"/>
        </w:numPr>
        <w:ind w:right="4" w:hanging="360"/>
      </w:pPr>
      <w:r>
        <w:t xml:space="preserve">ComReg may not intervene in cases where the end-user was aware of risks and/or inadequacies in their security systems but failed to remediate them </w:t>
      </w:r>
      <w:proofErr w:type="gramStart"/>
      <w:r>
        <w:t>so as to</w:t>
      </w:r>
      <w:proofErr w:type="gramEnd"/>
      <w:r>
        <w:t xml:space="preserve"> prevent or mitigate against any further incidents of fraud or misuse. </w:t>
      </w:r>
      <w:r>
        <w:rPr>
          <w:sz w:val="12"/>
        </w:rPr>
        <w:t xml:space="preserve"> </w:t>
      </w:r>
    </w:p>
    <w:p w14:paraId="6AC6A518" w14:textId="4E32486B" w:rsidR="008C38EC" w:rsidRDefault="007F3B8D">
      <w:pPr>
        <w:numPr>
          <w:ilvl w:val="0"/>
          <w:numId w:val="7"/>
        </w:numPr>
        <w:spacing w:after="299"/>
        <w:ind w:right="4" w:hanging="360"/>
      </w:pPr>
      <w:proofErr w:type="gramStart"/>
      <w:r>
        <w:t>In particular</w:t>
      </w:r>
      <w:r w:rsidR="00311492">
        <w:t>,</w:t>
      </w:r>
      <w:r>
        <w:t xml:space="preserve"> ComReg</w:t>
      </w:r>
      <w:proofErr w:type="gramEnd"/>
      <w:r>
        <w:t xml:space="preserve"> will normally not investigate a case where the end-user experienced previous incidents but subsequently failed to take appropriate steps and/or remedial action to ensure adequate security measures are present on their telecommunication systems</w:t>
      </w:r>
      <w:r>
        <w:rPr>
          <w:sz w:val="24"/>
        </w:rPr>
        <w:t>.</w:t>
      </w:r>
      <w:r>
        <w:rPr>
          <w:color w:val="000080"/>
          <w:vertAlign w:val="superscript"/>
        </w:rPr>
        <w:footnoteReference w:id="6"/>
      </w:r>
      <w:r>
        <w:rPr>
          <w:vertAlign w:val="subscript"/>
        </w:rPr>
        <w:t xml:space="preserve"> </w:t>
      </w:r>
    </w:p>
    <w:p w14:paraId="61B88C04" w14:textId="77777777" w:rsidR="008C38EC" w:rsidRDefault="007F3B8D">
      <w:pPr>
        <w:pStyle w:val="Heading3"/>
        <w:ind w:left="-5"/>
      </w:pPr>
      <w:r>
        <w:t xml:space="preserve">4.5 End-user protection </w:t>
      </w:r>
    </w:p>
    <w:p w14:paraId="7FE070DB" w14:textId="77777777" w:rsidR="008C38EC" w:rsidRDefault="007F3B8D">
      <w:pPr>
        <w:numPr>
          <w:ilvl w:val="0"/>
          <w:numId w:val="8"/>
        </w:numPr>
        <w:ind w:right="4" w:hanging="360"/>
      </w:pPr>
      <w:r>
        <w:t xml:space="preserve">The primary focus of this process is to protect end-users from the consequences of fraud and misuse. This protection is provided directly by intervention with the retail operator. This can result in ComReg requiring interconnection or other service revenues to be withheld. </w:t>
      </w:r>
    </w:p>
    <w:p w14:paraId="605687FA" w14:textId="28692A4B" w:rsidR="008C38EC" w:rsidRDefault="007F3B8D">
      <w:pPr>
        <w:numPr>
          <w:ilvl w:val="0"/>
          <w:numId w:val="8"/>
        </w:numPr>
        <w:ind w:right="4" w:hanging="360"/>
      </w:pPr>
      <w:r>
        <w:t>When forming a view whether to intervene in a case, ComReg will consider what charges, if any</w:t>
      </w:r>
      <w:r w:rsidR="005E553E">
        <w:t>,</w:t>
      </w:r>
      <w:r>
        <w:t xml:space="preserve"> </w:t>
      </w:r>
      <w:r w:rsidR="005E553E">
        <w:t>(</w:t>
      </w:r>
      <w:proofErr w:type="gramStart"/>
      <w:r>
        <w:t>i.e.</w:t>
      </w:r>
      <w:proofErr w:type="gramEnd"/>
      <w:r>
        <w:t xml:space="preserve"> wholesale costs, retail costs</w:t>
      </w:r>
      <w:r w:rsidR="005E553E">
        <w:t xml:space="preserve">) </w:t>
      </w:r>
      <w:r>
        <w:t xml:space="preserve">the retail operator intends to charge the end-user for the calls. </w:t>
      </w:r>
    </w:p>
    <w:p w14:paraId="72AB7CED" w14:textId="77777777" w:rsidR="008C38EC" w:rsidRDefault="007F3B8D">
      <w:pPr>
        <w:spacing w:after="218" w:line="259" w:lineRule="auto"/>
        <w:ind w:left="0" w:right="0" w:firstLine="0"/>
        <w:jc w:val="left"/>
      </w:pPr>
      <w:r>
        <w:rPr>
          <w:color w:val="165EA8"/>
        </w:rPr>
        <w:t xml:space="preserve"> </w:t>
      </w:r>
    </w:p>
    <w:p w14:paraId="37E47AA6" w14:textId="77777777" w:rsidR="008C38EC" w:rsidRDefault="007F3B8D">
      <w:pPr>
        <w:spacing w:after="0" w:line="259" w:lineRule="auto"/>
        <w:ind w:left="0" w:right="0" w:firstLine="0"/>
        <w:jc w:val="left"/>
      </w:pPr>
      <w:r>
        <w:t xml:space="preserve"> </w:t>
      </w:r>
    </w:p>
    <w:p w14:paraId="5341F12B" w14:textId="697D684D" w:rsidR="008C38EC" w:rsidRDefault="007F3B8D">
      <w:pPr>
        <w:pStyle w:val="Heading1"/>
        <w:ind w:left="-5"/>
      </w:pPr>
      <w:bookmarkStart w:id="5" w:name="_Toc146793350"/>
      <w:r>
        <w:lastRenderedPageBreak/>
        <w:t xml:space="preserve">5 </w:t>
      </w:r>
      <w:r w:rsidR="00F2571C">
        <w:t xml:space="preserve">Requirements </w:t>
      </w:r>
      <w:r>
        <w:t>for Operators</w:t>
      </w:r>
      <w:bookmarkEnd w:id="5"/>
      <w:r>
        <w:t xml:space="preserve"> </w:t>
      </w:r>
    </w:p>
    <w:p w14:paraId="73C4DFB5" w14:textId="77777777" w:rsidR="00D61888" w:rsidRPr="00D61888" w:rsidRDefault="00D61888" w:rsidP="00D61888"/>
    <w:p w14:paraId="6B853064" w14:textId="06355F2B" w:rsidR="003F6658" w:rsidRPr="009F067A" w:rsidRDefault="003F6658" w:rsidP="003E6CC4">
      <w:pPr>
        <w:numPr>
          <w:ilvl w:val="0"/>
          <w:numId w:val="9"/>
        </w:numPr>
        <w:ind w:right="4" w:hanging="360"/>
      </w:pPr>
      <w:r>
        <w:t>At all times appropriate measures should be taken by the end-user, the PBX owner and maintainer</w:t>
      </w:r>
      <w:r w:rsidR="005E553E">
        <w:t>,</w:t>
      </w:r>
      <w:r>
        <w:t xml:space="preserve"> and the retail and wholesale operators, to prevent incidents occurring and to limit the severity and impact of any incidents.</w:t>
      </w:r>
    </w:p>
    <w:p w14:paraId="6F9E6B2E" w14:textId="1F285A0D" w:rsidR="003F6658" w:rsidRDefault="003F6658" w:rsidP="003E6CC4">
      <w:pPr>
        <w:numPr>
          <w:ilvl w:val="0"/>
          <w:numId w:val="9"/>
        </w:numPr>
        <w:ind w:right="4" w:hanging="360"/>
      </w:pPr>
      <w:r>
        <w:t xml:space="preserve">Operators should implement reliable fraud monitoring systems and procedures, on a </w:t>
      </w:r>
      <w:proofErr w:type="gramStart"/>
      <w:r>
        <w:t>24 hour</w:t>
      </w:r>
      <w:proofErr w:type="gramEnd"/>
      <w:r>
        <w:t xml:space="preserve"> basis</w:t>
      </w:r>
      <w:r w:rsidR="005E553E">
        <w:t>,</w:t>
      </w:r>
      <w:r>
        <w:t xml:space="preserve"> to flag a range of unusual calling patterns, marked by a high frequency of:</w:t>
      </w:r>
    </w:p>
    <w:p w14:paraId="2AB216FE" w14:textId="09B47C25" w:rsidR="009F067A" w:rsidRPr="003E6CC4" w:rsidRDefault="009F067A" w:rsidP="003E6CC4">
      <w:pPr>
        <w:numPr>
          <w:ilvl w:val="1"/>
          <w:numId w:val="9"/>
        </w:numPr>
        <w:spacing w:after="95"/>
        <w:ind w:right="4" w:hanging="358"/>
      </w:pPr>
      <w:r w:rsidRPr="003E6CC4">
        <w:t xml:space="preserve">Calls to international destinations commonly associated with fraudulent activities, particularly if these destinations are not </w:t>
      </w:r>
      <w:r>
        <w:t xml:space="preserve">usually </w:t>
      </w:r>
      <w:r w:rsidRPr="003E6CC4">
        <w:t>contacted by the end-user.</w:t>
      </w:r>
    </w:p>
    <w:p w14:paraId="0D28E545" w14:textId="77777777" w:rsidR="009F067A" w:rsidRPr="003E6CC4" w:rsidRDefault="009F067A" w:rsidP="003E6CC4">
      <w:pPr>
        <w:numPr>
          <w:ilvl w:val="1"/>
          <w:numId w:val="9"/>
        </w:numPr>
        <w:spacing w:after="95"/>
        <w:ind w:right="4" w:hanging="358"/>
      </w:pPr>
      <w:r w:rsidRPr="003E6CC4">
        <w:t>Calls made during hours when the end-user's business is generally closed.</w:t>
      </w:r>
    </w:p>
    <w:p w14:paraId="74F0371E" w14:textId="77777777" w:rsidR="009F067A" w:rsidRPr="003E6CC4" w:rsidRDefault="009F067A" w:rsidP="003E6CC4">
      <w:pPr>
        <w:numPr>
          <w:ilvl w:val="1"/>
          <w:numId w:val="9"/>
        </w:numPr>
        <w:spacing w:after="95"/>
        <w:ind w:right="4" w:hanging="358"/>
      </w:pPr>
      <w:r w:rsidRPr="003E6CC4">
        <w:t>Calls to premium or high-cost numbers that fall outside the end-user's usual call patterns.</w:t>
      </w:r>
    </w:p>
    <w:p w14:paraId="3E7F7CCC" w14:textId="77777777" w:rsidR="009F067A" w:rsidRPr="003E6CC4" w:rsidRDefault="009F067A" w:rsidP="003E6CC4">
      <w:pPr>
        <w:numPr>
          <w:ilvl w:val="1"/>
          <w:numId w:val="9"/>
        </w:numPr>
        <w:spacing w:after="95"/>
        <w:ind w:right="4" w:hanging="358"/>
      </w:pPr>
      <w:r w:rsidRPr="003E6CC4">
        <w:t>Calls of short duration, in quick succession and within a short timeframe.</w:t>
      </w:r>
    </w:p>
    <w:p w14:paraId="2D2F1041" w14:textId="52A84388" w:rsidR="008C38EC" w:rsidRDefault="007F3B8D" w:rsidP="00FA561F">
      <w:pPr>
        <w:numPr>
          <w:ilvl w:val="0"/>
          <w:numId w:val="9"/>
        </w:numPr>
        <w:ind w:right="4" w:hanging="360"/>
      </w:pPr>
      <w:r>
        <w:t xml:space="preserve">Measures should be taken to detect and stop an incident at the earliest possible opportunity, especially those incidents occurring outside of </w:t>
      </w:r>
      <w:r w:rsidR="00EE143E">
        <w:t xml:space="preserve">the </w:t>
      </w:r>
      <w:r>
        <w:t>normal working hours</w:t>
      </w:r>
      <w:r w:rsidR="000540F0">
        <w:t xml:space="preserve"> of the end-user concerned</w:t>
      </w:r>
      <w:r>
        <w:t xml:space="preserve">. </w:t>
      </w:r>
    </w:p>
    <w:p w14:paraId="018F6B21" w14:textId="3C240AEE" w:rsidR="008C38EC" w:rsidRDefault="007F3B8D">
      <w:pPr>
        <w:numPr>
          <w:ilvl w:val="0"/>
          <w:numId w:val="9"/>
        </w:numPr>
        <w:ind w:right="4" w:hanging="360"/>
      </w:pPr>
      <w:r>
        <w:t xml:space="preserve">Where an operator identifies unusual activity, </w:t>
      </w:r>
      <w:r w:rsidR="00EE143E">
        <w:t xml:space="preserve">immediate steps should be taken to prevent further activity </w:t>
      </w:r>
      <w:r>
        <w:t>and the end-user advised as soon as possible</w:t>
      </w:r>
      <w:r w:rsidR="000540F0">
        <w:t xml:space="preserve">, including </w:t>
      </w:r>
      <w:r>
        <w:t>report</w:t>
      </w:r>
      <w:r w:rsidR="000540F0">
        <w:t>ing</w:t>
      </w:r>
      <w:r>
        <w:t xml:space="preserve"> the incident to </w:t>
      </w:r>
      <w:proofErr w:type="gramStart"/>
      <w:r>
        <w:t>An</w:t>
      </w:r>
      <w:proofErr w:type="gramEnd"/>
      <w:r>
        <w:t xml:space="preserve"> Garda Síochána</w:t>
      </w:r>
      <w:r w:rsidR="00F70899">
        <w:t xml:space="preserve"> and obtain</w:t>
      </w:r>
      <w:r w:rsidR="000540F0">
        <w:t>ing</w:t>
      </w:r>
      <w:r w:rsidR="00F70899">
        <w:t xml:space="preserve"> a Pulse Number</w:t>
      </w:r>
      <w:r>
        <w:t xml:space="preserve">. </w:t>
      </w:r>
    </w:p>
    <w:p w14:paraId="760D7879" w14:textId="261D58B8" w:rsidR="008C38EC" w:rsidRDefault="007F3B8D">
      <w:pPr>
        <w:numPr>
          <w:ilvl w:val="0"/>
          <w:numId w:val="9"/>
        </w:numPr>
        <w:ind w:right="4" w:hanging="360"/>
      </w:pPr>
      <w:r>
        <w:t xml:space="preserve">ComReg should be notified of the incident without undue delay. ComReg should be provided with a list of the </w:t>
      </w:r>
      <w:r w:rsidR="003A376D">
        <w:t xml:space="preserve">relevant individual </w:t>
      </w:r>
      <w:r>
        <w:t xml:space="preserve">Call Detail Records (“CDRs”) </w:t>
      </w:r>
      <w:r w:rsidR="003A376D">
        <w:t>in an Excel file in the following format</w:t>
      </w:r>
      <w:r>
        <w:t xml:space="preserve">: </w:t>
      </w:r>
    </w:p>
    <w:p w14:paraId="7DD3AF98" w14:textId="77777777" w:rsidR="008C38EC" w:rsidRDefault="007F3B8D">
      <w:pPr>
        <w:numPr>
          <w:ilvl w:val="1"/>
          <w:numId w:val="9"/>
        </w:numPr>
        <w:spacing w:after="95"/>
        <w:ind w:right="4" w:hanging="358"/>
      </w:pPr>
      <w:r>
        <w:t>The originating number(s) (A Number</w:t>
      </w:r>
      <w:proofErr w:type="gramStart"/>
      <w:r>
        <w:t>);</w:t>
      </w:r>
      <w:proofErr w:type="gramEnd"/>
      <w:r>
        <w:t xml:space="preserve"> </w:t>
      </w:r>
    </w:p>
    <w:p w14:paraId="3D044657" w14:textId="77777777" w:rsidR="008C38EC" w:rsidRDefault="007F3B8D">
      <w:pPr>
        <w:numPr>
          <w:ilvl w:val="1"/>
          <w:numId w:val="9"/>
        </w:numPr>
        <w:spacing w:after="95"/>
        <w:ind w:right="4" w:hanging="358"/>
      </w:pPr>
      <w:r>
        <w:t>The terminating number(s) (B Numbers</w:t>
      </w:r>
      <w:proofErr w:type="gramStart"/>
      <w:r>
        <w:t>);</w:t>
      </w:r>
      <w:proofErr w:type="gramEnd"/>
      <w:r>
        <w:t xml:space="preserve"> </w:t>
      </w:r>
    </w:p>
    <w:p w14:paraId="680B55A3" w14:textId="77777777" w:rsidR="008C38EC" w:rsidRDefault="007F3B8D">
      <w:pPr>
        <w:numPr>
          <w:ilvl w:val="1"/>
          <w:numId w:val="9"/>
        </w:numPr>
        <w:spacing w:after="95"/>
        <w:ind w:right="4" w:hanging="358"/>
      </w:pPr>
      <w:r>
        <w:t xml:space="preserve">Call dates and times, </w:t>
      </w:r>
    </w:p>
    <w:p w14:paraId="15E14CD9" w14:textId="77777777" w:rsidR="008C38EC" w:rsidRDefault="007F3B8D">
      <w:pPr>
        <w:numPr>
          <w:ilvl w:val="1"/>
          <w:numId w:val="9"/>
        </w:numPr>
        <w:spacing w:after="95"/>
        <w:ind w:right="4" w:hanging="358"/>
      </w:pPr>
      <w:r>
        <w:t xml:space="preserve">Call destinations, </w:t>
      </w:r>
    </w:p>
    <w:p w14:paraId="7F4DD341" w14:textId="77777777" w:rsidR="008C38EC" w:rsidRDefault="007F3B8D">
      <w:pPr>
        <w:numPr>
          <w:ilvl w:val="1"/>
          <w:numId w:val="9"/>
        </w:numPr>
        <w:spacing w:after="95"/>
        <w:ind w:right="4" w:hanging="358"/>
      </w:pPr>
      <w:r>
        <w:t xml:space="preserve">Wholesale and retail costs, </w:t>
      </w:r>
    </w:p>
    <w:p w14:paraId="67AE6E2E" w14:textId="77777777" w:rsidR="008C38EC" w:rsidRDefault="007F3B8D">
      <w:pPr>
        <w:numPr>
          <w:ilvl w:val="1"/>
          <w:numId w:val="9"/>
        </w:numPr>
        <w:spacing w:after="97"/>
        <w:ind w:right="4" w:hanging="358"/>
      </w:pPr>
      <w:r>
        <w:t xml:space="preserve">Call durations; and </w:t>
      </w:r>
    </w:p>
    <w:p w14:paraId="29C5C76F" w14:textId="77777777" w:rsidR="008C38EC" w:rsidRDefault="007F3B8D">
      <w:pPr>
        <w:numPr>
          <w:ilvl w:val="1"/>
          <w:numId w:val="9"/>
        </w:numPr>
        <w:spacing w:after="335"/>
        <w:ind w:right="4" w:hanging="358"/>
      </w:pPr>
      <w:r>
        <w:t xml:space="preserve">Interconnect operators in the chain. </w:t>
      </w:r>
    </w:p>
    <w:p w14:paraId="2380B64E" w14:textId="4F773910" w:rsidR="008C38EC" w:rsidRDefault="007F3B8D">
      <w:pPr>
        <w:numPr>
          <w:ilvl w:val="0"/>
          <w:numId w:val="9"/>
        </w:numPr>
        <w:ind w:right="4" w:hanging="360"/>
      </w:pPr>
      <w:r>
        <w:t>Retail operators should regularly provide briefing material to their business customers outlining the potential risks and suggesting preventative measures that can be undertaken by the end-user to mitigate these risks</w:t>
      </w:r>
      <w:r>
        <w:rPr>
          <w:color w:val="000080"/>
          <w:vertAlign w:val="superscript"/>
        </w:rPr>
        <w:footnoteReference w:id="7"/>
      </w:r>
      <w:r w:rsidR="000540F0">
        <w:t>.</w:t>
      </w:r>
      <w:r>
        <w:t xml:space="preserve"> </w:t>
      </w:r>
      <w:r w:rsidR="00CD558F">
        <w:t xml:space="preserve">Appendix 3 of this document includes advice to </w:t>
      </w:r>
      <w:r w:rsidR="000540F0">
        <w:t>end-users</w:t>
      </w:r>
      <w:r w:rsidR="00CD558F">
        <w:t xml:space="preserve"> to help them mitigate risks relating to potential Misuse of </w:t>
      </w:r>
      <w:proofErr w:type="gramStart"/>
      <w:r w:rsidR="00CD558F">
        <w:t>PBX’s</w:t>
      </w:r>
      <w:proofErr w:type="gramEnd"/>
      <w:r w:rsidR="00FC35E4">
        <w:t>,</w:t>
      </w:r>
      <w:r w:rsidR="00CD558F">
        <w:t xml:space="preserve"> as well as advice on responding to an incident. </w:t>
      </w:r>
    </w:p>
    <w:p w14:paraId="1BDEA508" w14:textId="77CB647C" w:rsidR="008C38EC" w:rsidRDefault="007F3B8D">
      <w:pPr>
        <w:numPr>
          <w:ilvl w:val="0"/>
          <w:numId w:val="9"/>
        </w:numPr>
        <w:ind w:right="4" w:hanging="360"/>
      </w:pPr>
      <w:r>
        <w:lastRenderedPageBreak/>
        <w:t xml:space="preserve">ComReg would encourage retail operators to ensure that their customers are aware that ComReg may not intervene in all cases and that it is important that appropriate security measures are implemented on their equipment.  </w:t>
      </w:r>
    </w:p>
    <w:p w14:paraId="476DDD73" w14:textId="22504CA3" w:rsidR="008C38EC" w:rsidRPr="000540F0" w:rsidRDefault="007F3B8D" w:rsidP="003E6CC4">
      <w:pPr>
        <w:pStyle w:val="ListParagraph"/>
        <w:numPr>
          <w:ilvl w:val="0"/>
          <w:numId w:val="9"/>
        </w:numPr>
        <w:spacing w:after="193" w:line="277" w:lineRule="auto"/>
        <w:ind w:right="0" w:hanging="346"/>
        <w:jc w:val="left"/>
        <w:rPr>
          <w:bCs/>
        </w:rPr>
      </w:pPr>
      <w:r w:rsidRPr="003E6CC4">
        <w:rPr>
          <w:rFonts w:eastAsia="Calibri"/>
          <w:bCs/>
        </w:rPr>
        <w:t xml:space="preserve">Operators may be left liable for all or a portion of the costs if ComReg decides it is not proportionate to intervene. </w:t>
      </w:r>
    </w:p>
    <w:p w14:paraId="5CD571CC" w14:textId="77777777" w:rsidR="008C38EC" w:rsidRDefault="007F3B8D">
      <w:pPr>
        <w:pStyle w:val="Heading1"/>
        <w:spacing w:after="98"/>
        <w:ind w:left="417" w:hanging="432"/>
      </w:pPr>
      <w:bookmarkStart w:id="6" w:name="_Toc146793351"/>
      <w:r>
        <w:t xml:space="preserve">6 Process for investigating misuse </w:t>
      </w:r>
      <w:proofErr w:type="gramStart"/>
      <w:r>
        <w:t>cases</w:t>
      </w:r>
      <w:bookmarkEnd w:id="6"/>
      <w:proofErr w:type="gramEnd"/>
      <w:r>
        <w:t xml:space="preserve"> </w:t>
      </w:r>
    </w:p>
    <w:p w14:paraId="037B83F8" w14:textId="77777777" w:rsidR="008C38EC" w:rsidRDefault="007F3B8D">
      <w:pPr>
        <w:pStyle w:val="Heading3"/>
        <w:ind w:left="-5"/>
      </w:pPr>
      <w:r>
        <w:t xml:space="preserve">6.1 Case initiation </w:t>
      </w:r>
    </w:p>
    <w:p w14:paraId="348260F0" w14:textId="04BBD024" w:rsidR="008C38EC" w:rsidRDefault="007F3B8D">
      <w:pPr>
        <w:numPr>
          <w:ilvl w:val="0"/>
          <w:numId w:val="11"/>
        </w:numPr>
        <w:spacing w:after="238"/>
        <w:ind w:right="4" w:hanging="360"/>
      </w:pPr>
      <w:r>
        <w:t xml:space="preserve">The retail operator should notify ComReg of incidents of alleged fraud or misuse (PBX Hacking, </w:t>
      </w:r>
      <w:proofErr w:type="spellStart"/>
      <w:r>
        <w:t>Wangiri</w:t>
      </w:r>
      <w:proofErr w:type="spellEnd"/>
      <w:r>
        <w:t xml:space="preserve"> fraud, Roaming, Artificial Inflation of Traffic (“AIT”)) by emailing </w:t>
      </w:r>
      <w:r>
        <w:rPr>
          <w:color w:val="0000FF"/>
          <w:u w:val="single" w:color="0000FF"/>
        </w:rPr>
        <w:t>misuse@comreg.ie</w:t>
      </w:r>
      <w:r>
        <w:t xml:space="preserve"> </w:t>
      </w:r>
      <w:r w:rsidR="001A374B">
        <w:t xml:space="preserve">and attaching </w:t>
      </w:r>
      <w:r>
        <w:t>the Operator Misuse Form</w:t>
      </w:r>
      <w:r>
        <w:rPr>
          <w:color w:val="000080"/>
          <w:vertAlign w:val="superscript"/>
        </w:rPr>
        <w:footnoteReference w:id="8"/>
      </w:r>
      <w:r w:rsidR="001A374B">
        <w:t>.</w:t>
      </w:r>
      <w:r w:rsidR="003A376D">
        <w:t xml:space="preserve"> </w:t>
      </w:r>
      <w:r w:rsidR="001A374B">
        <w:t xml:space="preserve">Where </w:t>
      </w:r>
      <w:r w:rsidR="009E2144">
        <w:t>the submitted Operator Misuse Form is incomplete due to</w:t>
      </w:r>
      <w:r w:rsidR="001A374B">
        <w:t>, for example,</w:t>
      </w:r>
      <w:r w:rsidR="009E2144">
        <w:t xml:space="preserve"> unavailable information at the time of submission such as details of PBX installation</w:t>
      </w:r>
      <w:r w:rsidR="001A374B">
        <w:t xml:space="preserve"> or</w:t>
      </w:r>
      <w:r w:rsidR="009E2144">
        <w:t xml:space="preserve"> Garda Pul</w:t>
      </w:r>
      <w:r w:rsidR="001A374B">
        <w:t>s</w:t>
      </w:r>
      <w:r w:rsidR="009E2144">
        <w:t>e Number, a fully completed form should follow as soon as possible.</w:t>
      </w:r>
    </w:p>
    <w:p w14:paraId="572F7E27" w14:textId="77777777" w:rsidR="008C38EC" w:rsidRDefault="007F3B8D" w:rsidP="0057722F">
      <w:pPr>
        <w:numPr>
          <w:ilvl w:val="0"/>
          <w:numId w:val="11"/>
        </w:numPr>
        <w:ind w:right="4" w:hanging="360"/>
      </w:pPr>
      <w:r>
        <w:t xml:space="preserve">Any outstanding information will be requested from the retail operator or subsequent operators in the chain who have been identified as providing interconnection services relating to the incident. </w:t>
      </w:r>
    </w:p>
    <w:p w14:paraId="54077D53" w14:textId="77777777" w:rsidR="008C38EC" w:rsidRDefault="007F3B8D">
      <w:pPr>
        <w:numPr>
          <w:ilvl w:val="0"/>
          <w:numId w:val="11"/>
        </w:numPr>
        <w:ind w:right="4" w:hanging="360"/>
      </w:pPr>
      <w:r>
        <w:t>All relevant information</w:t>
      </w:r>
      <w:r>
        <w:rPr>
          <w:color w:val="000080"/>
          <w:vertAlign w:val="superscript"/>
        </w:rPr>
        <w:footnoteReference w:id="9"/>
      </w:r>
      <w:r>
        <w:t xml:space="preserve"> should be submitted to ComReg as soon as possible after the incident is detected, but no later than </w:t>
      </w:r>
      <w:r w:rsidRPr="0046670D">
        <w:t>15 calendar days</w:t>
      </w:r>
      <w:r>
        <w:t xml:space="preserve"> after the incident is detected.  </w:t>
      </w:r>
    </w:p>
    <w:p w14:paraId="3E5FCD37" w14:textId="342C9945" w:rsidR="008C38EC" w:rsidRDefault="007F3B8D">
      <w:pPr>
        <w:numPr>
          <w:ilvl w:val="0"/>
          <w:numId w:val="11"/>
        </w:numPr>
        <w:ind w:right="4" w:hanging="360"/>
      </w:pPr>
      <w:r>
        <w:t xml:space="preserve">ComReg will review the case information and </w:t>
      </w:r>
      <w:r w:rsidR="001A374B">
        <w:t>decide</w:t>
      </w:r>
      <w:r>
        <w:t xml:space="preserve"> to: </w:t>
      </w:r>
    </w:p>
    <w:p w14:paraId="7C509EAE" w14:textId="77777777" w:rsidR="008C38EC" w:rsidRDefault="007F3B8D">
      <w:pPr>
        <w:numPr>
          <w:ilvl w:val="1"/>
          <w:numId w:val="11"/>
        </w:numPr>
        <w:ind w:right="4" w:hanging="360"/>
      </w:pPr>
      <w:r>
        <w:t xml:space="preserve">Not intervene and close the case; or </w:t>
      </w:r>
    </w:p>
    <w:p w14:paraId="3BE46209" w14:textId="77777777" w:rsidR="008C38EC" w:rsidRDefault="007F3B8D">
      <w:pPr>
        <w:numPr>
          <w:ilvl w:val="1"/>
          <w:numId w:val="11"/>
        </w:numPr>
        <w:ind w:right="4" w:hanging="360"/>
      </w:pPr>
      <w:r>
        <w:t xml:space="preserve">Intervene in the case subject to the following decisions: </w:t>
      </w:r>
    </w:p>
    <w:p w14:paraId="4391D19B" w14:textId="1C26EC2E" w:rsidR="008C38EC" w:rsidRDefault="007F3B8D" w:rsidP="00FA561F">
      <w:pPr>
        <w:tabs>
          <w:tab w:val="center" w:pos="1530"/>
          <w:tab w:val="right" w:pos="9038"/>
        </w:tabs>
        <w:spacing w:after="23" w:line="259" w:lineRule="auto"/>
        <w:ind w:left="1350" w:right="0" w:firstLine="0"/>
        <w:jc w:val="left"/>
      </w:pPr>
      <w:r>
        <w:rPr>
          <w:rFonts w:ascii="Calibri" w:eastAsia="Calibri" w:hAnsi="Calibri" w:cs="Calibri"/>
        </w:rPr>
        <w:tab/>
      </w:r>
      <w:proofErr w:type="spellStart"/>
      <w:r>
        <w:t>i</w:t>
      </w:r>
      <w:proofErr w:type="spellEnd"/>
      <w:r>
        <w:t xml:space="preserve">. that there has been </w:t>
      </w:r>
      <w:r w:rsidR="001A374B">
        <w:t xml:space="preserve">a </w:t>
      </w:r>
      <w:r>
        <w:t xml:space="preserve">misuse of an Irish number within the meaning of </w:t>
      </w:r>
    </w:p>
    <w:p w14:paraId="1E6A2314" w14:textId="32F58D03" w:rsidR="00F64BCB" w:rsidRDefault="007F3B8D" w:rsidP="00FA561F">
      <w:pPr>
        <w:tabs>
          <w:tab w:val="center" w:pos="1530"/>
        </w:tabs>
        <w:ind w:left="1350" w:right="4" w:firstLine="270"/>
      </w:pPr>
      <w:r>
        <w:t xml:space="preserve">Regulation </w:t>
      </w:r>
      <w:r w:rsidR="00E13C6F">
        <w:t>8</w:t>
      </w:r>
      <w:r>
        <w:t xml:space="preserve">3(2) of </w:t>
      </w:r>
      <w:r w:rsidR="001B7AB1">
        <w:t>the ECC Regulations</w:t>
      </w:r>
      <w:r>
        <w:t xml:space="preserve">; and </w:t>
      </w:r>
    </w:p>
    <w:p w14:paraId="4C22F515" w14:textId="5F740107" w:rsidR="008C38EC" w:rsidRDefault="007F3B8D" w:rsidP="00FA561F">
      <w:pPr>
        <w:ind w:left="1530" w:right="4" w:hanging="248"/>
      </w:pPr>
      <w:r>
        <w:t xml:space="preserve">ii. to require the retail operator, and any interconnect operators within the jurisdiction, to withhold interconnection payments and other service revenues for the relevant calls to its interconnect operator(s) pursuant to Regulation </w:t>
      </w:r>
      <w:r w:rsidR="006F7C29">
        <w:t>8</w:t>
      </w:r>
      <w:r>
        <w:t xml:space="preserve">3(2) of </w:t>
      </w:r>
      <w:r w:rsidR="001B7AB1">
        <w:t>the ECC Regulations.</w:t>
      </w:r>
      <w:r>
        <w:t xml:space="preserve"> </w:t>
      </w:r>
    </w:p>
    <w:p w14:paraId="7421154C" w14:textId="37CF9C9C" w:rsidR="008C38EC" w:rsidRDefault="007F3B8D">
      <w:pPr>
        <w:spacing w:after="285" w:line="277" w:lineRule="auto"/>
        <w:ind w:left="-5" w:right="0" w:hanging="10"/>
        <w:jc w:val="left"/>
      </w:pPr>
      <w:r>
        <w:rPr>
          <w:rFonts w:ascii="Calibri" w:eastAsia="Calibri" w:hAnsi="Calibri" w:cs="Calibri"/>
          <w:b/>
        </w:rPr>
        <w:t xml:space="preserve">NOTE </w:t>
      </w:r>
      <w:r>
        <w:rPr>
          <w:rFonts w:ascii="Calibri" w:eastAsia="Calibri" w:hAnsi="Calibri" w:cs="Calibri"/>
          <w:b/>
        </w:rPr>
        <w:tab/>
        <w:t xml:space="preserve">It may not be proportionate for ComReg to use their Regulation </w:t>
      </w:r>
      <w:r w:rsidR="00215431">
        <w:rPr>
          <w:rFonts w:ascii="Calibri" w:eastAsia="Calibri" w:hAnsi="Calibri" w:cs="Calibri"/>
          <w:b/>
        </w:rPr>
        <w:t>8</w:t>
      </w:r>
      <w:r>
        <w:rPr>
          <w:rFonts w:ascii="Calibri" w:eastAsia="Calibri" w:hAnsi="Calibri" w:cs="Calibri"/>
          <w:b/>
        </w:rPr>
        <w:t xml:space="preserve">3(2) powers in every instance and ComReg will make a decision on a </w:t>
      </w:r>
      <w:proofErr w:type="gramStart"/>
      <w:r>
        <w:rPr>
          <w:rFonts w:ascii="Calibri" w:eastAsia="Calibri" w:hAnsi="Calibri" w:cs="Calibri"/>
          <w:b/>
        </w:rPr>
        <w:t>case by case</w:t>
      </w:r>
      <w:proofErr w:type="gramEnd"/>
      <w:r>
        <w:rPr>
          <w:rFonts w:ascii="Calibri" w:eastAsia="Calibri" w:hAnsi="Calibri" w:cs="Calibri"/>
          <w:b/>
        </w:rPr>
        <w:t xml:space="preserve"> basis.  </w:t>
      </w:r>
    </w:p>
    <w:p w14:paraId="343AE950" w14:textId="77777777" w:rsidR="008C38EC" w:rsidRDefault="007F3B8D">
      <w:pPr>
        <w:pStyle w:val="Heading3"/>
        <w:ind w:left="-5"/>
      </w:pPr>
      <w:r>
        <w:lastRenderedPageBreak/>
        <w:t xml:space="preserve">6.2 Notification of initial decision </w:t>
      </w:r>
    </w:p>
    <w:p w14:paraId="531580B2" w14:textId="56358D40" w:rsidR="008C38EC" w:rsidRDefault="007F3B8D">
      <w:pPr>
        <w:numPr>
          <w:ilvl w:val="0"/>
          <w:numId w:val="12"/>
        </w:numPr>
        <w:ind w:right="4" w:hanging="360"/>
      </w:pPr>
      <w:proofErr w:type="gramStart"/>
      <w:r>
        <w:t>In the event that</w:t>
      </w:r>
      <w:proofErr w:type="gramEnd"/>
      <w:r>
        <w:t xml:space="preserve"> ComReg decides not to use </w:t>
      </w:r>
      <w:r w:rsidR="001A374B">
        <w:t xml:space="preserve">its </w:t>
      </w:r>
      <w:r>
        <w:t xml:space="preserve">Regulation </w:t>
      </w:r>
      <w:r w:rsidR="006F7C29">
        <w:t>83</w:t>
      </w:r>
      <w:r>
        <w:t xml:space="preserve">(2) powers, ComReg will notify the retail operator(s) in writing (by email), of the decision not to intervene. </w:t>
      </w:r>
    </w:p>
    <w:p w14:paraId="04DE2C2B" w14:textId="5F78C4B0" w:rsidR="008C38EC" w:rsidRDefault="007F3B8D">
      <w:pPr>
        <w:numPr>
          <w:ilvl w:val="0"/>
          <w:numId w:val="12"/>
        </w:numPr>
        <w:ind w:right="4" w:hanging="360"/>
      </w:pPr>
      <w:proofErr w:type="gramStart"/>
      <w:r>
        <w:t>In the event that</w:t>
      </w:r>
      <w:proofErr w:type="gramEnd"/>
      <w:r>
        <w:t xml:space="preserve"> ComReg decides to utilise </w:t>
      </w:r>
      <w:r w:rsidR="001A374B">
        <w:t xml:space="preserve">its </w:t>
      </w:r>
      <w:r>
        <w:t xml:space="preserve">Regulation </w:t>
      </w:r>
      <w:r w:rsidR="006F7C29">
        <w:t>83</w:t>
      </w:r>
      <w:r>
        <w:t>(2) powers, ComReg will notify the relevant operator(s), by way of email</w:t>
      </w:r>
      <w:r w:rsidR="001A374B">
        <w:t>,</w:t>
      </w:r>
      <w:r>
        <w:t xml:space="preserve"> of the decision to utilise Regulation </w:t>
      </w:r>
      <w:r w:rsidR="00F35143">
        <w:t>8</w:t>
      </w:r>
      <w:r>
        <w:t xml:space="preserve">3(2) (the “Interim Requirement”). The Interim Requirement will remain </w:t>
      </w:r>
      <w:r w:rsidRPr="0046670D">
        <w:t>valid for four months</w:t>
      </w:r>
      <w:r>
        <w:t xml:space="preserve"> from the date the letter is issued. </w:t>
      </w:r>
    </w:p>
    <w:p w14:paraId="5A511ED9" w14:textId="371E781E" w:rsidR="008C38EC" w:rsidRDefault="007F3B8D">
      <w:pPr>
        <w:numPr>
          <w:ilvl w:val="0"/>
          <w:numId w:val="12"/>
        </w:numPr>
        <w:spacing w:after="297"/>
        <w:ind w:right="4" w:hanging="360"/>
      </w:pPr>
      <w:r>
        <w:t xml:space="preserve">Where appropriate ComReg may notify the National Regulatory Authority (“NRA”) of the relevant EU interconnect operators of its decision to use its Regulation </w:t>
      </w:r>
      <w:r w:rsidR="006F7C29">
        <w:t>83</w:t>
      </w:r>
      <w:r>
        <w:t xml:space="preserve">(2) powers. This will enable NRAs in </w:t>
      </w:r>
      <w:r w:rsidR="001A374B">
        <w:t xml:space="preserve">the </w:t>
      </w:r>
      <w:r>
        <w:t xml:space="preserve">interconnect </w:t>
      </w:r>
      <w:r w:rsidR="001A374B">
        <w:t xml:space="preserve">Countries </w:t>
      </w:r>
      <w:r>
        <w:t xml:space="preserve">to decide on the appropriate action in their country of jurisdiction. </w:t>
      </w:r>
    </w:p>
    <w:p w14:paraId="751951A1" w14:textId="77777777" w:rsidR="008C38EC" w:rsidRDefault="007F3B8D">
      <w:pPr>
        <w:pStyle w:val="Heading3"/>
        <w:spacing w:after="186"/>
        <w:ind w:left="-5"/>
      </w:pPr>
      <w:r>
        <w:t xml:space="preserve">6.3 Continuing investigation during the interim period </w:t>
      </w:r>
    </w:p>
    <w:p w14:paraId="675D95C8" w14:textId="77777777" w:rsidR="008C38EC" w:rsidRDefault="007F3B8D">
      <w:pPr>
        <w:spacing w:after="297"/>
        <w:ind w:left="636" w:right="4"/>
      </w:pPr>
      <w:r>
        <w:t xml:space="preserve">42. Operators and NRA’s have two months from the date the Interim Requirement is issued to make representations to ComReg.  </w:t>
      </w:r>
    </w:p>
    <w:p w14:paraId="0C480315" w14:textId="77777777" w:rsidR="008C38EC" w:rsidRDefault="007F3B8D">
      <w:pPr>
        <w:pStyle w:val="Heading3"/>
        <w:ind w:left="561" w:hanging="576"/>
      </w:pPr>
      <w:r>
        <w:t xml:space="preserve">6.4 Decision on whether to make permanent the Interim Requirement </w:t>
      </w:r>
    </w:p>
    <w:p w14:paraId="41AB05E9" w14:textId="26F2EB1F" w:rsidR="008C38EC" w:rsidRDefault="007F3B8D">
      <w:pPr>
        <w:spacing w:after="294"/>
        <w:ind w:left="636" w:right="4"/>
      </w:pPr>
      <w:r>
        <w:t xml:space="preserve">43. ComReg will consider any representations made by operator/s and NRAs when </w:t>
      </w:r>
      <w:r w:rsidR="001A374B">
        <w:t>deciding whether</w:t>
      </w:r>
      <w:r>
        <w:t xml:space="preserve"> to confirm the provisional finding of misuse and make the Interim Requirement permanent, or to allow it to expire. </w:t>
      </w:r>
    </w:p>
    <w:p w14:paraId="590E87D8" w14:textId="77777777" w:rsidR="008C38EC" w:rsidRDefault="007F3B8D">
      <w:pPr>
        <w:pStyle w:val="Heading3"/>
        <w:ind w:left="-5"/>
      </w:pPr>
      <w:r>
        <w:t xml:space="preserve">6.5 Notification of final decision </w:t>
      </w:r>
    </w:p>
    <w:p w14:paraId="1D7E5F42" w14:textId="77777777" w:rsidR="008C38EC" w:rsidRDefault="007F3B8D">
      <w:pPr>
        <w:spacing w:after="297"/>
        <w:ind w:left="636" w:right="4"/>
      </w:pPr>
      <w:r>
        <w:t xml:space="preserve">44. ComReg will formally notify the retail operator and relevant interconnect operators of the decision to amend or make permanent the Interim Requirement, or of the decision to allow the Interim Requirement to expire. </w:t>
      </w:r>
    </w:p>
    <w:p w14:paraId="14192F23" w14:textId="77777777" w:rsidR="008C38EC" w:rsidRDefault="007F3B8D">
      <w:pPr>
        <w:pStyle w:val="Heading3"/>
        <w:ind w:left="-5"/>
      </w:pPr>
      <w:r>
        <w:t xml:space="preserve">6.6 Change to the process </w:t>
      </w:r>
    </w:p>
    <w:p w14:paraId="2532021F" w14:textId="77777777" w:rsidR="008C38EC" w:rsidRDefault="007F3B8D">
      <w:pPr>
        <w:ind w:left="636" w:right="4"/>
      </w:pPr>
      <w:r>
        <w:t xml:space="preserve">45. The process set out above is subject to change depending on the circumstances of each individual case. The process will be reviewed and may be updated from time to time, as appropriate.  </w:t>
      </w:r>
    </w:p>
    <w:p w14:paraId="6B513EA2" w14:textId="77777777" w:rsidR="00FB78C8" w:rsidRDefault="00FB78C8">
      <w:pPr>
        <w:spacing w:after="160" w:line="259" w:lineRule="auto"/>
        <w:ind w:left="0" w:right="0" w:firstLine="0"/>
        <w:jc w:val="left"/>
        <w:rPr>
          <w:b/>
          <w:color w:val="165EA8"/>
          <w:sz w:val="48"/>
        </w:rPr>
      </w:pPr>
      <w:r>
        <w:br w:type="page"/>
      </w:r>
    </w:p>
    <w:p w14:paraId="0A881FC7" w14:textId="74C95866" w:rsidR="008C38EC" w:rsidRDefault="007F3B8D">
      <w:pPr>
        <w:pStyle w:val="Heading1"/>
        <w:tabs>
          <w:tab w:val="center" w:pos="5790"/>
        </w:tabs>
        <w:spacing w:after="25"/>
        <w:ind w:left="-15" w:firstLine="0"/>
      </w:pPr>
      <w:bookmarkStart w:id="7" w:name="_Toc146793352"/>
      <w:r>
        <w:lastRenderedPageBreak/>
        <w:t xml:space="preserve">Appendix: 1 </w:t>
      </w:r>
      <w:r>
        <w:tab/>
        <w:t>Relevant Information</w:t>
      </w:r>
      <w:bookmarkEnd w:id="7"/>
      <w:r>
        <w:t xml:space="preserve"> </w:t>
      </w:r>
    </w:p>
    <w:p w14:paraId="2337D7D5" w14:textId="44DDB5B2" w:rsidR="008C38EC" w:rsidRDefault="007F3B8D">
      <w:pPr>
        <w:spacing w:after="299"/>
        <w:ind w:left="708" w:right="4" w:hanging="708"/>
      </w:pPr>
      <w:r>
        <w:t xml:space="preserve">A 1.1 ComReg </w:t>
      </w:r>
      <w:r w:rsidR="00FB78C8">
        <w:t xml:space="preserve">requires responses to all sections of the Operator Misuse Form </w:t>
      </w:r>
      <w:proofErr w:type="gramStart"/>
      <w:r w:rsidR="00FB78C8">
        <w:t xml:space="preserve">in order </w:t>
      </w:r>
      <w:r>
        <w:t>to</w:t>
      </w:r>
      <w:proofErr w:type="gramEnd"/>
      <w:r>
        <w:t xml:space="preserve"> carry out an investigation into a case of alleged fraud and/or misuse</w:t>
      </w:r>
      <w:r w:rsidR="00FC35E4">
        <w:t>. This includes the following information</w:t>
      </w:r>
      <w:r>
        <w:t xml:space="preserve">: </w:t>
      </w:r>
    </w:p>
    <w:p w14:paraId="305FC53F" w14:textId="0C3E68AE" w:rsidR="008C38EC" w:rsidRDefault="007F3B8D">
      <w:pPr>
        <w:numPr>
          <w:ilvl w:val="0"/>
          <w:numId w:val="13"/>
        </w:numPr>
        <w:ind w:right="4" w:hanging="576"/>
      </w:pPr>
      <w:r>
        <w:t>Call Detail Records (CDR’s) for the incident in an Excel file</w:t>
      </w:r>
      <w:r w:rsidR="0057722F">
        <w:t xml:space="preserve">. The fields required are described in Section 5 of this </w:t>
      </w:r>
      <w:proofErr w:type="gramStart"/>
      <w:r w:rsidR="0057722F">
        <w:t>document;</w:t>
      </w:r>
      <w:proofErr w:type="gramEnd"/>
    </w:p>
    <w:p w14:paraId="651EC492" w14:textId="5032BE08" w:rsidR="008C38EC" w:rsidRDefault="007F3B8D">
      <w:pPr>
        <w:numPr>
          <w:ilvl w:val="0"/>
          <w:numId w:val="13"/>
        </w:numPr>
        <w:ind w:right="4" w:hanging="576"/>
      </w:pPr>
      <w:r>
        <w:t xml:space="preserve">Wholesale cost for </w:t>
      </w:r>
      <w:r w:rsidR="0057722F">
        <w:t xml:space="preserve">each </w:t>
      </w:r>
      <w:r>
        <w:t xml:space="preserve">relevant call, excluding </w:t>
      </w:r>
      <w:proofErr w:type="gramStart"/>
      <w:r>
        <w:t>VAT;</w:t>
      </w:r>
      <w:proofErr w:type="gramEnd"/>
      <w:r>
        <w:t xml:space="preserve"> </w:t>
      </w:r>
    </w:p>
    <w:p w14:paraId="68680834" w14:textId="513A102F" w:rsidR="008C38EC" w:rsidRDefault="007F3B8D">
      <w:pPr>
        <w:numPr>
          <w:ilvl w:val="0"/>
          <w:numId w:val="13"/>
        </w:numPr>
        <w:spacing w:after="243"/>
        <w:ind w:right="4" w:hanging="576"/>
      </w:pPr>
      <w:r>
        <w:t xml:space="preserve">Retail cost for </w:t>
      </w:r>
      <w:r w:rsidR="0057722F">
        <w:t>each</w:t>
      </w:r>
      <w:r>
        <w:t xml:space="preserve"> relevant call, excluding </w:t>
      </w:r>
      <w:proofErr w:type="gramStart"/>
      <w:r>
        <w:t>VAT;</w:t>
      </w:r>
      <w:proofErr w:type="gramEnd"/>
      <w:r>
        <w:t xml:space="preserve"> </w:t>
      </w:r>
    </w:p>
    <w:p w14:paraId="7A0F93B2" w14:textId="74A1B533" w:rsidR="008C38EC" w:rsidRDefault="0057722F">
      <w:pPr>
        <w:numPr>
          <w:ilvl w:val="0"/>
          <w:numId w:val="13"/>
        </w:numPr>
        <w:spacing w:after="255"/>
        <w:ind w:right="4" w:hanging="576"/>
      </w:pPr>
      <w:r>
        <w:t>Where the total wholesale value of the relevant calls</w:t>
      </w:r>
      <w:r w:rsidR="004E00FA">
        <w:t xml:space="preserve"> is</w:t>
      </w:r>
      <w:r>
        <w:t xml:space="preserve"> &lt;€5,000</w:t>
      </w:r>
      <w:r w:rsidR="004E00FA">
        <w:t>,</w:t>
      </w:r>
      <w:r>
        <w:t xml:space="preserve"> the </w:t>
      </w:r>
      <w:r w:rsidR="003A4DC6">
        <w:t xml:space="preserve">estimated </w:t>
      </w:r>
      <w:r>
        <w:t>a</w:t>
      </w:r>
      <w:r w:rsidR="007F3B8D">
        <w:t xml:space="preserve">verage monthly retail bill (€) (ex VAT) </w:t>
      </w:r>
      <w:r w:rsidR="003A4DC6">
        <w:t xml:space="preserve">should be </w:t>
      </w:r>
      <w:proofErr w:type="gramStart"/>
      <w:r w:rsidR="003A4DC6">
        <w:t>provided</w:t>
      </w:r>
      <w:r w:rsidR="004E00FA">
        <w:t>;</w:t>
      </w:r>
      <w:proofErr w:type="gramEnd"/>
      <w:r w:rsidR="007F3B8D">
        <w:t xml:space="preserve"> </w:t>
      </w:r>
    </w:p>
    <w:p w14:paraId="42A20794" w14:textId="45B11478" w:rsidR="008C38EC" w:rsidRDefault="007F3B8D">
      <w:pPr>
        <w:numPr>
          <w:ilvl w:val="0"/>
          <w:numId w:val="13"/>
        </w:numPr>
        <w:spacing w:after="258"/>
        <w:ind w:right="4" w:hanging="576"/>
      </w:pPr>
      <w:r>
        <w:t xml:space="preserve">Interconnect operators – </w:t>
      </w:r>
      <w:r w:rsidR="004E00FA">
        <w:t>provide details of</w:t>
      </w:r>
      <w:r>
        <w:t xml:space="preserve"> the interconnect operators</w:t>
      </w:r>
      <w:r>
        <w:rPr>
          <w:color w:val="000080"/>
          <w:vertAlign w:val="superscript"/>
        </w:rPr>
        <w:footnoteReference w:id="10"/>
      </w:r>
      <w:r>
        <w:t xml:space="preserve"> and what portion of the calls are associated with each </w:t>
      </w:r>
      <w:proofErr w:type="gramStart"/>
      <w:r>
        <w:t>operator;</w:t>
      </w:r>
      <w:proofErr w:type="gramEnd"/>
      <w:r>
        <w:t xml:space="preserve"> </w:t>
      </w:r>
    </w:p>
    <w:p w14:paraId="5D09929A" w14:textId="77777777" w:rsidR="008C38EC" w:rsidRDefault="007F3B8D">
      <w:pPr>
        <w:numPr>
          <w:ilvl w:val="0"/>
          <w:numId w:val="13"/>
        </w:numPr>
        <w:ind w:right="4" w:hanging="576"/>
      </w:pPr>
      <w:r>
        <w:t xml:space="preserve">Garda PULSE </w:t>
      </w:r>
      <w:proofErr w:type="gramStart"/>
      <w:r>
        <w:t>Number;</w:t>
      </w:r>
      <w:proofErr w:type="gramEnd"/>
      <w:r>
        <w:t xml:space="preserve"> </w:t>
      </w:r>
    </w:p>
    <w:p w14:paraId="534A15FB" w14:textId="3F31F301" w:rsidR="008C38EC" w:rsidRDefault="007F3B8D">
      <w:pPr>
        <w:numPr>
          <w:ilvl w:val="0"/>
          <w:numId w:val="13"/>
        </w:numPr>
        <w:spacing w:after="228"/>
        <w:ind w:right="4" w:hanging="576"/>
      </w:pPr>
      <w:r>
        <w:t>Date/s that payment for the relevant calls is due to interconnect operators</w:t>
      </w:r>
      <w:r w:rsidR="003A4DC6">
        <w:t>. ComReg</w:t>
      </w:r>
      <w:r w:rsidR="00E47069">
        <w:t xml:space="preserve"> cannot issue </w:t>
      </w:r>
      <w:r w:rsidR="003A4DC6">
        <w:t xml:space="preserve">a withhold notice once payment is made to an ongoing </w:t>
      </w:r>
      <w:proofErr w:type="gramStart"/>
      <w:r w:rsidR="003A4DC6">
        <w:t>operator</w:t>
      </w:r>
      <w:r>
        <w:t>;</w:t>
      </w:r>
      <w:proofErr w:type="gramEnd"/>
      <w:r>
        <w:t xml:space="preserve"> </w:t>
      </w:r>
    </w:p>
    <w:p w14:paraId="5C3A1792" w14:textId="77777777" w:rsidR="008C38EC" w:rsidRDefault="007F3B8D">
      <w:pPr>
        <w:numPr>
          <w:ilvl w:val="0"/>
          <w:numId w:val="13"/>
        </w:numPr>
        <w:spacing w:after="261"/>
        <w:ind w:right="4" w:hanging="576"/>
      </w:pPr>
      <w:r>
        <w:t xml:space="preserve">Confirmation from the retail operator that they are not responsible for the maintenance of the security of the end-users PBX </w:t>
      </w:r>
      <w:proofErr w:type="gramStart"/>
      <w:r>
        <w:t>system;</w:t>
      </w:r>
      <w:proofErr w:type="gramEnd"/>
      <w:r>
        <w:t xml:space="preserve"> </w:t>
      </w:r>
    </w:p>
    <w:p w14:paraId="3BA730A1" w14:textId="59715086" w:rsidR="008C38EC" w:rsidRDefault="004E00FA">
      <w:pPr>
        <w:numPr>
          <w:ilvl w:val="0"/>
          <w:numId w:val="13"/>
        </w:numPr>
        <w:ind w:right="4" w:hanging="576"/>
      </w:pPr>
      <w:r>
        <w:t xml:space="preserve">The </w:t>
      </w:r>
      <w:r w:rsidR="007F3B8D">
        <w:t xml:space="preserve">costs, if any, the retail operator </w:t>
      </w:r>
      <w:r>
        <w:t xml:space="preserve">will </w:t>
      </w:r>
      <w:r w:rsidR="007F3B8D">
        <w:t>charge if ComReg does not agree to intervene</w:t>
      </w:r>
      <w:r w:rsidR="003A4DC6">
        <w:t xml:space="preserve">, </w:t>
      </w:r>
      <w:r w:rsidR="007F3B8D">
        <w:t xml:space="preserve">and </w:t>
      </w:r>
      <w:r>
        <w:t xml:space="preserve">the </w:t>
      </w:r>
      <w:r w:rsidR="007F3B8D">
        <w:t xml:space="preserve">costs, if any, </w:t>
      </w:r>
      <w:r>
        <w:t>that will be</w:t>
      </w:r>
      <w:r w:rsidR="007F3B8D">
        <w:t xml:space="preserve"> charge</w:t>
      </w:r>
      <w:r>
        <w:t>d</w:t>
      </w:r>
      <w:r w:rsidR="007F3B8D">
        <w:t xml:space="preserve"> if ComReg does agree to intervene</w:t>
      </w:r>
      <w:r>
        <w:t xml:space="preserve">. </w:t>
      </w:r>
    </w:p>
    <w:p w14:paraId="62B9C2C2" w14:textId="77777777" w:rsidR="003A4DC6" w:rsidRDefault="003A4DC6">
      <w:pPr>
        <w:spacing w:after="160" w:line="259" w:lineRule="auto"/>
        <w:ind w:left="0" w:right="0" w:firstLine="0"/>
        <w:jc w:val="left"/>
        <w:rPr>
          <w:b/>
          <w:color w:val="165EA8"/>
          <w:sz w:val="48"/>
        </w:rPr>
      </w:pPr>
      <w:r>
        <w:br w:type="page"/>
      </w:r>
    </w:p>
    <w:p w14:paraId="18015C3E" w14:textId="46451169" w:rsidR="008C38EC" w:rsidRDefault="007F3B8D">
      <w:pPr>
        <w:pStyle w:val="Heading1"/>
        <w:ind w:left="-5"/>
      </w:pPr>
      <w:bookmarkStart w:id="8" w:name="_Toc146793353"/>
      <w:r>
        <w:lastRenderedPageBreak/>
        <w:t>Appendix: 2 Operator Misuse Form</w:t>
      </w:r>
      <w:bookmarkEnd w:id="8"/>
      <w:r>
        <w:t xml:space="preserve"> </w:t>
      </w:r>
    </w:p>
    <w:tbl>
      <w:tblPr>
        <w:tblStyle w:val="TableGrid"/>
        <w:tblW w:w="9004" w:type="dxa"/>
        <w:tblInd w:w="12" w:type="dxa"/>
        <w:tblCellMar>
          <w:top w:w="9" w:type="dxa"/>
          <w:left w:w="106" w:type="dxa"/>
          <w:right w:w="44" w:type="dxa"/>
        </w:tblCellMar>
        <w:tblLook w:val="04A0" w:firstRow="1" w:lastRow="0" w:firstColumn="1" w:lastColumn="0" w:noHBand="0" w:noVBand="1"/>
      </w:tblPr>
      <w:tblGrid>
        <w:gridCol w:w="4658"/>
        <w:gridCol w:w="4346"/>
      </w:tblGrid>
      <w:tr w:rsidR="008C38EC" w14:paraId="41A5BFE8" w14:textId="77777777">
        <w:trPr>
          <w:trHeight w:val="1991"/>
        </w:trPr>
        <w:tc>
          <w:tcPr>
            <w:tcW w:w="9004" w:type="dxa"/>
            <w:gridSpan w:val="2"/>
            <w:tcBorders>
              <w:top w:val="single" w:sz="8" w:space="0" w:color="0070C0"/>
              <w:left w:val="single" w:sz="8" w:space="0" w:color="0070C0"/>
              <w:bottom w:val="single" w:sz="8" w:space="0" w:color="0070C0"/>
              <w:right w:val="single" w:sz="8" w:space="0" w:color="0070C0"/>
            </w:tcBorders>
            <w:shd w:val="clear" w:color="auto" w:fill="165EA8"/>
          </w:tcPr>
          <w:p w14:paraId="073C8281" w14:textId="77777777" w:rsidR="008C38EC" w:rsidRDefault="007F3B8D">
            <w:pPr>
              <w:spacing w:after="220" w:line="259" w:lineRule="auto"/>
              <w:ind w:left="0" w:right="0" w:firstLine="0"/>
              <w:jc w:val="left"/>
            </w:pPr>
            <w:r>
              <w:rPr>
                <w:b/>
                <w:color w:val="FFFFFF"/>
                <w:sz w:val="24"/>
              </w:rPr>
              <w:t xml:space="preserve">Primary Operator Misuse Notification Form </w:t>
            </w:r>
          </w:p>
          <w:p w14:paraId="37674962" w14:textId="7B6D22D8" w:rsidR="008C38EC" w:rsidRDefault="007F3B8D">
            <w:pPr>
              <w:spacing w:after="120" w:line="277" w:lineRule="auto"/>
              <w:ind w:left="0" w:right="0" w:firstLine="0"/>
            </w:pPr>
            <w:r>
              <w:rPr>
                <w:i/>
                <w:color w:val="FFFFFF"/>
                <w:sz w:val="20"/>
              </w:rPr>
              <w:t xml:space="preserve">Please complete the form </w:t>
            </w:r>
            <w:r w:rsidR="0029210A" w:rsidRPr="002E5323">
              <w:rPr>
                <w:i/>
                <w:color w:val="FFFF00"/>
                <w:sz w:val="20"/>
              </w:rPr>
              <w:t xml:space="preserve">as per guidance in ComReg 18/119R </w:t>
            </w:r>
            <w:r w:rsidR="002E5323" w:rsidRPr="002E5323">
              <w:rPr>
                <w:i/>
                <w:color w:val="FFFF00"/>
                <w:sz w:val="20"/>
              </w:rPr>
              <w:t xml:space="preserve">(An Operator’s Note) </w:t>
            </w:r>
            <w:r>
              <w:rPr>
                <w:i/>
                <w:color w:val="FFFFFF"/>
                <w:sz w:val="20"/>
              </w:rPr>
              <w:t xml:space="preserve">and return to ComReg no later than 15 calendar days after incident is detected and stopped. </w:t>
            </w:r>
          </w:p>
          <w:p w14:paraId="10770920" w14:textId="77777777" w:rsidR="008C38EC" w:rsidRDefault="007F3B8D">
            <w:pPr>
              <w:spacing w:after="0" w:line="259" w:lineRule="auto"/>
              <w:ind w:left="0" w:right="0" w:firstLine="0"/>
            </w:pPr>
            <w:r>
              <w:rPr>
                <w:i/>
                <w:color w:val="FFFFFF"/>
                <w:sz w:val="20"/>
              </w:rPr>
              <w:t xml:space="preserve">Failure to provide the relevant information in a timely manner may result in ComReg being unable to </w:t>
            </w:r>
            <w:proofErr w:type="gramStart"/>
            <w:r>
              <w:rPr>
                <w:i/>
                <w:color w:val="FFFFFF"/>
                <w:sz w:val="20"/>
              </w:rPr>
              <w:t>take action</w:t>
            </w:r>
            <w:proofErr w:type="gramEnd"/>
            <w:r>
              <w:rPr>
                <w:i/>
                <w:color w:val="FFFFFF"/>
                <w:sz w:val="20"/>
              </w:rPr>
              <w:t xml:space="preserve"> in relation to the case.</w:t>
            </w:r>
            <w:r>
              <w:rPr>
                <w:b/>
                <w:color w:val="FFFFFF"/>
                <w:sz w:val="24"/>
              </w:rPr>
              <w:t xml:space="preserve"> </w:t>
            </w:r>
          </w:p>
        </w:tc>
      </w:tr>
      <w:tr w:rsidR="008C38EC" w14:paraId="405AD4C1" w14:textId="77777777" w:rsidTr="003E6CC4">
        <w:trPr>
          <w:trHeight w:val="1001"/>
        </w:trPr>
        <w:tc>
          <w:tcPr>
            <w:tcW w:w="4658" w:type="dxa"/>
            <w:tcBorders>
              <w:top w:val="single" w:sz="8" w:space="0" w:color="0070C0"/>
              <w:left w:val="single" w:sz="8" w:space="0" w:color="0070C0"/>
              <w:bottom w:val="single" w:sz="8" w:space="0" w:color="0070C0"/>
              <w:right w:val="single" w:sz="8" w:space="0" w:color="0070C0"/>
            </w:tcBorders>
          </w:tcPr>
          <w:p w14:paraId="42DA1E18" w14:textId="77777777" w:rsidR="007616EF" w:rsidRDefault="007F3B8D">
            <w:pPr>
              <w:spacing w:after="0" w:line="259" w:lineRule="auto"/>
              <w:ind w:left="0" w:right="0" w:firstLine="0"/>
              <w:jc w:val="left"/>
              <w:rPr>
                <w:b/>
                <w:color w:val="165EA8"/>
              </w:rPr>
            </w:pPr>
            <w:r>
              <w:rPr>
                <w:b/>
                <w:color w:val="165EA8"/>
              </w:rPr>
              <w:t xml:space="preserve"> </w:t>
            </w:r>
            <w:proofErr w:type="gramStart"/>
            <w:r>
              <w:rPr>
                <w:b/>
                <w:color w:val="165EA8"/>
              </w:rPr>
              <w:t>Operator</w:t>
            </w:r>
            <w:proofErr w:type="gramEnd"/>
            <w:r>
              <w:rPr>
                <w:b/>
                <w:color w:val="165EA8"/>
              </w:rPr>
              <w:t xml:space="preserve"> contact details </w:t>
            </w:r>
          </w:p>
          <w:p w14:paraId="0EBFF25D" w14:textId="2489504B" w:rsidR="008C38EC" w:rsidRDefault="007F3B8D">
            <w:pPr>
              <w:spacing w:after="0" w:line="259" w:lineRule="auto"/>
              <w:ind w:left="0" w:right="0" w:firstLine="0"/>
              <w:jc w:val="left"/>
            </w:pPr>
            <w:r w:rsidRPr="004126A0">
              <w:rPr>
                <w:bCs/>
                <w:color w:val="165EA8"/>
              </w:rPr>
              <w:t>(name and address)</w:t>
            </w:r>
            <w:r>
              <w:rPr>
                <w:b/>
                <w:color w:val="165EA8"/>
              </w:rPr>
              <w:t xml:space="preserve"> </w:t>
            </w:r>
          </w:p>
        </w:tc>
        <w:tc>
          <w:tcPr>
            <w:tcW w:w="4346" w:type="dxa"/>
            <w:tcBorders>
              <w:top w:val="single" w:sz="8" w:space="0" w:color="0070C0"/>
              <w:left w:val="single" w:sz="8" w:space="0" w:color="0070C0"/>
              <w:bottom w:val="single" w:sz="8" w:space="0" w:color="0070C0"/>
              <w:right w:val="single" w:sz="6" w:space="0" w:color="165EA8"/>
            </w:tcBorders>
          </w:tcPr>
          <w:p w14:paraId="74C18D68" w14:textId="77777777" w:rsidR="008C38EC" w:rsidRDefault="007F3B8D">
            <w:pPr>
              <w:spacing w:after="0" w:line="259" w:lineRule="auto"/>
              <w:ind w:left="2" w:right="0" w:firstLine="0"/>
              <w:jc w:val="left"/>
            </w:pPr>
            <w:r>
              <w:rPr>
                <w:color w:val="002060"/>
              </w:rPr>
              <w:t xml:space="preserve"> </w:t>
            </w:r>
          </w:p>
        </w:tc>
      </w:tr>
      <w:tr w:rsidR="008C38EC" w14:paraId="71504648" w14:textId="77777777" w:rsidTr="003E6CC4">
        <w:trPr>
          <w:trHeight w:val="524"/>
        </w:trPr>
        <w:tc>
          <w:tcPr>
            <w:tcW w:w="4658" w:type="dxa"/>
            <w:tcBorders>
              <w:top w:val="single" w:sz="8" w:space="0" w:color="0070C0"/>
              <w:left w:val="single" w:sz="8" w:space="0" w:color="0070C0"/>
              <w:bottom w:val="single" w:sz="6" w:space="0" w:color="165EA8"/>
              <w:right w:val="single" w:sz="8" w:space="0" w:color="0070C0"/>
            </w:tcBorders>
          </w:tcPr>
          <w:p w14:paraId="77A0C142" w14:textId="77777777" w:rsidR="008C38EC" w:rsidRDefault="007F3B8D">
            <w:pPr>
              <w:spacing w:after="0" w:line="259" w:lineRule="auto"/>
              <w:ind w:left="0" w:right="0" w:firstLine="0"/>
              <w:jc w:val="left"/>
            </w:pPr>
            <w:r>
              <w:rPr>
                <w:b/>
                <w:color w:val="165EA8"/>
              </w:rPr>
              <w:t xml:space="preserve">Retail operator </w:t>
            </w:r>
            <w:r w:rsidRPr="004126A0">
              <w:rPr>
                <w:bCs/>
                <w:color w:val="165EA8"/>
              </w:rPr>
              <w:t>(if different from above)</w:t>
            </w:r>
            <w:r>
              <w:rPr>
                <w:b/>
                <w:color w:val="165EA8"/>
              </w:rPr>
              <w:t xml:space="preserve"> </w:t>
            </w:r>
          </w:p>
        </w:tc>
        <w:tc>
          <w:tcPr>
            <w:tcW w:w="4346" w:type="dxa"/>
            <w:tcBorders>
              <w:top w:val="single" w:sz="8" w:space="0" w:color="0070C0"/>
              <w:left w:val="single" w:sz="8" w:space="0" w:color="0070C0"/>
              <w:bottom w:val="single" w:sz="6" w:space="0" w:color="165EA8"/>
              <w:right w:val="single" w:sz="6" w:space="0" w:color="165EA8"/>
            </w:tcBorders>
          </w:tcPr>
          <w:p w14:paraId="6D22F650" w14:textId="77777777" w:rsidR="008C38EC" w:rsidRDefault="007F3B8D">
            <w:pPr>
              <w:spacing w:after="0" w:line="259" w:lineRule="auto"/>
              <w:ind w:left="2" w:right="0" w:firstLine="0"/>
              <w:jc w:val="left"/>
            </w:pPr>
            <w:r>
              <w:rPr>
                <w:color w:val="002060"/>
              </w:rPr>
              <w:t xml:space="preserve"> </w:t>
            </w:r>
          </w:p>
        </w:tc>
      </w:tr>
      <w:tr w:rsidR="008C38EC" w14:paraId="0FE9B4EB" w14:textId="77777777" w:rsidTr="003E6CC4">
        <w:trPr>
          <w:trHeight w:val="545"/>
        </w:trPr>
        <w:tc>
          <w:tcPr>
            <w:tcW w:w="4658" w:type="dxa"/>
            <w:tcBorders>
              <w:top w:val="single" w:sz="6" w:space="0" w:color="165EA8"/>
              <w:left w:val="single" w:sz="6" w:space="0" w:color="165EA8"/>
              <w:bottom w:val="single" w:sz="6" w:space="0" w:color="165EA8"/>
              <w:right w:val="single" w:sz="6" w:space="0" w:color="165EA8"/>
            </w:tcBorders>
          </w:tcPr>
          <w:p w14:paraId="2FA535AA" w14:textId="1569F671" w:rsidR="008C38EC" w:rsidRDefault="007F3B8D">
            <w:pPr>
              <w:spacing w:after="0" w:line="259" w:lineRule="auto"/>
              <w:ind w:left="0" w:right="0" w:firstLine="0"/>
              <w:jc w:val="left"/>
            </w:pPr>
            <w:r>
              <w:rPr>
                <w:b/>
                <w:color w:val="165EA8"/>
              </w:rPr>
              <w:t xml:space="preserve">End-user business name </w:t>
            </w:r>
            <w:r w:rsidR="007616EF">
              <w:rPr>
                <w:b/>
                <w:color w:val="165EA8"/>
              </w:rPr>
              <w:t xml:space="preserve">and Address </w:t>
            </w:r>
          </w:p>
        </w:tc>
        <w:tc>
          <w:tcPr>
            <w:tcW w:w="4346" w:type="dxa"/>
            <w:tcBorders>
              <w:top w:val="single" w:sz="6" w:space="0" w:color="165EA8"/>
              <w:left w:val="single" w:sz="6" w:space="0" w:color="165EA8"/>
              <w:bottom w:val="single" w:sz="6" w:space="0" w:color="165EA8"/>
              <w:right w:val="single" w:sz="6" w:space="0" w:color="165EA8"/>
            </w:tcBorders>
          </w:tcPr>
          <w:p w14:paraId="700877D2" w14:textId="77777777" w:rsidR="008C38EC" w:rsidRDefault="007F3B8D">
            <w:pPr>
              <w:spacing w:after="0" w:line="259" w:lineRule="auto"/>
              <w:ind w:left="2" w:right="0" w:firstLine="0"/>
              <w:jc w:val="left"/>
            </w:pPr>
            <w:r>
              <w:rPr>
                <w:color w:val="002060"/>
              </w:rPr>
              <w:t xml:space="preserve"> </w:t>
            </w:r>
          </w:p>
        </w:tc>
      </w:tr>
      <w:tr w:rsidR="007616EF" w14:paraId="6CF9F45F" w14:textId="77777777" w:rsidTr="003E6CC4">
        <w:trPr>
          <w:trHeight w:val="394"/>
        </w:trPr>
        <w:tc>
          <w:tcPr>
            <w:tcW w:w="4658" w:type="dxa"/>
            <w:tcBorders>
              <w:top w:val="single" w:sz="6" w:space="0" w:color="165EA8"/>
              <w:left w:val="single" w:sz="6" w:space="0" w:color="165EA8"/>
              <w:bottom w:val="single" w:sz="6" w:space="0" w:color="165EA8"/>
              <w:right w:val="single" w:sz="6" w:space="0" w:color="165EA8"/>
            </w:tcBorders>
          </w:tcPr>
          <w:p w14:paraId="1B259F54" w14:textId="6B2B112C" w:rsidR="007616EF" w:rsidRDefault="007616EF">
            <w:pPr>
              <w:spacing w:after="0" w:line="259" w:lineRule="auto"/>
              <w:ind w:left="0" w:right="0" w:firstLine="0"/>
              <w:jc w:val="left"/>
              <w:rPr>
                <w:b/>
                <w:color w:val="165EA8"/>
              </w:rPr>
            </w:pPr>
            <w:r>
              <w:rPr>
                <w:b/>
                <w:color w:val="165EA8"/>
              </w:rPr>
              <w:t>End</w:t>
            </w:r>
            <w:r w:rsidR="004E00FA">
              <w:rPr>
                <w:b/>
                <w:color w:val="165EA8"/>
              </w:rPr>
              <w:t>-u</w:t>
            </w:r>
            <w:r>
              <w:rPr>
                <w:b/>
                <w:color w:val="165EA8"/>
              </w:rPr>
              <w:t>ser Contact Name</w:t>
            </w:r>
          </w:p>
        </w:tc>
        <w:tc>
          <w:tcPr>
            <w:tcW w:w="4346" w:type="dxa"/>
            <w:tcBorders>
              <w:top w:val="single" w:sz="6" w:space="0" w:color="165EA8"/>
              <w:left w:val="single" w:sz="6" w:space="0" w:color="165EA8"/>
              <w:bottom w:val="single" w:sz="6" w:space="0" w:color="165EA8"/>
              <w:right w:val="single" w:sz="6" w:space="0" w:color="165EA8"/>
            </w:tcBorders>
          </w:tcPr>
          <w:p w14:paraId="0D5E128A" w14:textId="77777777" w:rsidR="007616EF" w:rsidRDefault="007616EF">
            <w:pPr>
              <w:spacing w:after="0" w:line="259" w:lineRule="auto"/>
              <w:ind w:left="2" w:right="0" w:firstLine="0"/>
              <w:jc w:val="left"/>
              <w:rPr>
                <w:color w:val="002060"/>
              </w:rPr>
            </w:pPr>
          </w:p>
        </w:tc>
      </w:tr>
      <w:tr w:rsidR="008C38EC" w14:paraId="2E08F4B2" w14:textId="77777777" w:rsidTr="003E6CC4">
        <w:trPr>
          <w:trHeight w:val="421"/>
        </w:trPr>
        <w:tc>
          <w:tcPr>
            <w:tcW w:w="4658" w:type="dxa"/>
            <w:tcBorders>
              <w:top w:val="single" w:sz="6" w:space="0" w:color="165EA8"/>
              <w:left w:val="single" w:sz="6" w:space="0" w:color="165EA8"/>
              <w:bottom w:val="single" w:sz="6" w:space="0" w:color="165EA8"/>
              <w:right w:val="single" w:sz="6" w:space="0" w:color="165EA8"/>
            </w:tcBorders>
          </w:tcPr>
          <w:p w14:paraId="13CE5824" w14:textId="77777777" w:rsidR="008C38EC" w:rsidRDefault="007F3B8D">
            <w:pPr>
              <w:spacing w:after="0" w:line="259" w:lineRule="auto"/>
              <w:ind w:left="0" w:right="0" w:firstLine="0"/>
              <w:jc w:val="left"/>
            </w:pPr>
            <w:r>
              <w:rPr>
                <w:b/>
                <w:color w:val="165EA8"/>
              </w:rPr>
              <w:t xml:space="preserve">Garda Reference Number </w:t>
            </w:r>
          </w:p>
        </w:tc>
        <w:tc>
          <w:tcPr>
            <w:tcW w:w="4346" w:type="dxa"/>
            <w:tcBorders>
              <w:top w:val="single" w:sz="6" w:space="0" w:color="165EA8"/>
              <w:left w:val="single" w:sz="6" w:space="0" w:color="165EA8"/>
              <w:bottom w:val="single" w:sz="6" w:space="0" w:color="165EA8"/>
              <w:right w:val="single" w:sz="6" w:space="0" w:color="165EA8"/>
            </w:tcBorders>
          </w:tcPr>
          <w:p w14:paraId="6E181C77" w14:textId="77777777" w:rsidR="008C38EC" w:rsidRDefault="007F3B8D">
            <w:pPr>
              <w:spacing w:after="0" w:line="259" w:lineRule="auto"/>
              <w:ind w:left="2" w:right="0" w:firstLine="0"/>
              <w:jc w:val="left"/>
            </w:pPr>
            <w:r>
              <w:rPr>
                <w:color w:val="002060"/>
              </w:rPr>
              <w:t xml:space="preserve"> </w:t>
            </w:r>
          </w:p>
        </w:tc>
      </w:tr>
      <w:tr w:rsidR="008C38EC" w14:paraId="658F2230" w14:textId="77777777" w:rsidTr="003E6CC4">
        <w:trPr>
          <w:trHeight w:val="389"/>
        </w:trPr>
        <w:tc>
          <w:tcPr>
            <w:tcW w:w="4658" w:type="dxa"/>
            <w:tcBorders>
              <w:top w:val="single" w:sz="6" w:space="0" w:color="165EA8"/>
              <w:left w:val="single" w:sz="6" w:space="0" w:color="165EA8"/>
              <w:bottom w:val="single" w:sz="6" w:space="0" w:color="165EA8"/>
              <w:right w:val="single" w:sz="6" w:space="0" w:color="165EA8"/>
            </w:tcBorders>
          </w:tcPr>
          <w:p w14:paraId="28A0270F" w14:textId="77777777" w:rsidR="008C38EC" w:rsidRDefault="007F3B8D">
            <w:pPr>
              <w:spacing w:after="0" w:line="259" w:lineRule="auto"/>
              <w:ind w:left="0" w:right="0" w:firstLine="0"/>
              <w:jc w:val="left"/>
            </w:pPr>
            <w:r>
              <w:rPr>
                <w:b/>
                <w:color w:val="165EA8"/>
              </w:rPr>
              <w:t xml:space="preserve">Call Details  </w:t>
            </w:r>
          </w:p>
        </w:tc>
        <w:tc>
          <w:tcPr>
            <w:tcW w:w="4346" w:type="dxa"/>
            <w:tcBorders>
              <w:top w:val="single" w:sz="6" w:space="0" w:color="165EA8"/>
              <w:left w:val="single" w:sz="6" w:space="0" w:color="165EA8"/>
              <w:bottom w:val="single" w:sz="6" w:space="0" w:color="165EA8"/>
              <w:right w:val="single" w:sz="6" w:space="0" w:color="165EA8"/>
            </w:tcBorders>
          </w:tcPr>
          <w:p w14:paraId="23072E7C" w14:textId="77777777" w:rsidR="008C38EC" w:rsidRDefault="007F3B8D">
            <w:pPr>
              <w:spacing w:after="0" w:line="259" w:lineRule="auto"/>
              <w:ind w:left="2" w:right="0" w:firstLine="0"/>
              <w:jc w:val="left"/>
            </w:pPr>
            <w:r>
              <w:rPr>
                <w:i/>
                <w:color w:val="165EA8"/>
              </w:rPr>
              <w:t>To be sent electronically on excel spread sheet</w:t>
            </w:r>
            <w:r>
              <w:rPr>
                <w:i/>
                <w:color w:val="FF0000"/>
              </w:rPr>
              <w:t xml:space="preserve"> </w:t>
            </w:r>
          </w:p>
        </w:tc>
      </w:tr>
      <w:tr w:rsidR="008C38EC" w14:paraId="3B2804BC" w14:textId="77777777" w:rsidTr="003E6CC4">
        <w:trPr>
          <w:trHeight w:val="641"/>
        </w:trPr>
        <w:tc>
          <w:tcPr>
            <w:tcW w:w="4658" w:type="dxa"/>
            <w:tcBorders>
              <w:top w:val="single" w:sz="6" w:space="0" w:color="165EA8"/>
              <w:left w:val="single" w:sz="6" w:space="0" w:color="165EA8"/>
              <w:bottom w:val="single" w:sz="6" w:space="0" w:color="165EA8"/>
              <w:right w:val="single" w:sz="6" w:space="0" w:color="165EA8"/>
            </w:tcBorders>
          </w:tcPr>
          <w:p w14:paraId="12CD7BC5" w14:textId="77777777" w:rsidR="007616EF" w:rsidRDefault="007F3B8D">
            <w:pPr>
              <w:spacing w:after="0" w:line="259" w:lineRule="auto"/>
              <w:ind w:left="0" w:right="0" w:firstLine="0"/>
              <w:rPr>
                <w:b/>
                <w:color w:val="165EA8"/>
              </w:rPr>
            </w:pPr>
            <w:r>
              <w:rPr>
                <w:b/>
                <w:color w:val="165EA8"/>
              </w:rPr>
              <w:t xml:space="preserve">Wholesale costs for Relevant Calls </w:t>
            </w:r>
          </w:p>
          <w:p w14:paraId="3F1F6ECB" w14:textId="41B3338D" w:rsidR="008C38EC" w:rsidRDefault="007F3B8D">
            <w:pPr>
              <w:spacing w:after="0" w:line="259" w:lineRule="auto"/>
              <w:ind w:left="0" w:right="0" w:firstLine="0"/>
            </w:pPr>
            <w:r w:rsidRPr="004126A0">
              <w:rPr>
                <w:bCs/>
                <w:color w:val="165EA8"/>
              </w:rPr>
              <w:t xml:space="preserve">(€) (ex VAT) </w:t>
            </w:r>
          </w:p>
        </w:tc>
        <w:tc>
          <w:tcPr>
            <w:tcW w:w="4346" w:type="dxa"/>
            <w:tcBorders>
              <w:top w:val="single" w:sz="6" w:space="0" w:color="165EA8"/>
              <w:left w:val="single" w:sz="6" w:space="0" w:color="165EA8"/>
              <w:bottom w:val="single" w:sz="6" w:space="0" w:color="165EA8"/>
              <w:right w:val="single" w:sz="6" w:space="0" w:color="165EA8"/>
            </w:tcBorders>
          </w:tcPr>
          <w:p w14:paraId="33EA360B" w14:textId="77777777" w:rsidR="008C38EC" w:rsidRDefault="007F3B8D">
            <w:pPr>
              <w:spacing w:after="0" w:line="259" w:lineRule="auto"/>
              <w:ind w:left="2" w:right="0" w:firstLine="0"/>
              <w:jc w:val="left"/>
            </w:pPr>
            <w:r>
              <w:rPr>
                <w:color w:val="002060"/>
              </w:rPr>
              <w:t xml:space="preserve"> </w:t>
            </w:r>
          </w:p>
        </w:tc>
      </w:tr>
      <w:tr w:rsidR="008C38EC" w14:paraId="23CA0CDB" w14:textId="77777777" w:rsidTr="003E6CC4">
        <w:trPr>
          <w:trHeight w:val="421"/>
        </w:trPr>
        <w:tc>
          <w:tcPr>
            <w:tcW w:w="4658" w:type="dxa"/>
            <w:tcBorders>
              <w:top w:val="single" w:sz="6" w:space="0" w:color="165EA8"/>
              <w:left w:val="single" w:sz="6" w:space="0" w:color="165EA8"/>
              <w:bottom w:val="single" w:sz="6" w:space="0" w:color="165EA8"/>
              <w:right w:val="single" w:sz="6" w:space="0" w:color="165EA8"/>
            </w:tcBorders>
          </w:tcPr>
          <w:p w14:paraId="094A77BE" w14:textId="3DB7FEA2" w:rsidR="008C38EC" w:rsidRPr="007616EF" w:rsidRDefault="007F3B8D" w:rsidP="009F067A">
            <w:pPr>
              <w:spacing w:after="0" w:line="259" w:lineRule="auto"/>
              <w:ind w:left="0" w:right="0" w:firstLine="0"/>
              <w:jc w:val="left"/>
              <w:rPr>
                <w:bCs/>
              </w:rPr>
            </w:pPr>
            <w:r>
              <w:rPr>
                <w:b/>
                <w:color w:val="165EA8"/>
              </w:rPr>
              <w:t xml:space="preserve">Retail costs for Relevant Calls </w:t>
            </w:r>
            <w:r w:rsidRPr="004126A0">
              <w:rPr>
                <w:bCs/>
                <w:color w:val="165EA8"/>
              </w:rPr>
              <w:t>(€) (ex VAT)</w:t>
            </w:r>
            <w:r w:rsidRPr="007616EF">
              <w:rPr>
                <w:bCs/>
                <w:color w:val="165EA8"/>
              </w:rPr>
              <w:t xml:space="preserve"> </w:t>
            </w:r>
          </w:p>
        </w:tc>
        <w:tc>
          <w:tcPr>
            <w:tcW w:w="4346" w:type="dxa"/>
            <w:tcBorders>
              <w:top w:val="single" w:sz="6" w:space="0" w:color="165EA8"/>
              <w:left w:val="single" w:sz="6" w:space="0" w:color="165EA8"/>
              <w:bottom w:val="single" w:sz="6" w:space="0" w:color="165EA8"/>
              <w:right w:val="single" w:sz="6" w:space="0" w:color="165EA8"/>
            </w:tcBorders>
          </w:tcPr>
          <w:p w14:paraId="08E06687" w14:textId="77777777" w:rsidR="008C38EC" w:rsidRDefault="007F3B8D">
            <w:pPr>
              <w:spacing w:after="0" w:line="259" w:lineRule="auto"/>
              <w:ind w:left="2" w:right="0" w:firstLine="0"/>
              <w:jc w:val="left"/>
            </w:pPr>
            <w:r>
              <w:rPr>
                <w:color w:val="002060"/>
              </w:rPr>
              <w:t xml:space="preserve"> </w:t>
            </w:r>
          </w:p>
        </w:tc>
      </w:tr>
      <w:tr w:rsidR="008C38EC" w14:paraId="0CEC60E0" w14:textId="77777777" w:rsidTr="003E6CC4">
        <w:trPr>
          <w:trHeight w:val="574"/>
        </w:trPr>
        <w:tc>
          <w:tcPr>
            <w:tcW w:w="4658" w:type="dxa"/>
            <w:tcBorders>
              <w:top w:val="single" w:sz="6" w:space="0" w:color="165EA8"/>
              <w:left w:val="single" w:sz="6" w:space="0" w:color="165EA8"/>
              <w:bottom w:val="single" w:sz="6" w:space="0" w:color="165EA8"/>
              <w:right w:val="single" w:sz="6" w:space="0" w:color="165EA8"/>
            </w:tcBorders>
          </w:tcPr>
          <w:p w14:paraId="2491B1E4" w14:textId="784D6B27" w:rsidR="008C38EC" w:rsidRDefault="007F3B8D" w:rsidP="009F067A">
            <w:pPr>
              <w:spacing w:after="0" w:line="259" w:lineRule="auto"/>
              <w:ind w:left="0" w:right="0" w:firstLine="0"/>
              <w:jc w:val="left"/>
              <w:rPr>
                <w:bCs/>
                <w:color w:val="165EA8"/>
              </w:rPr>
            </w:pPr>
            <w:r>
              <w:rPr>
                <w:b/>
                <w:color w:val="165EA8"/>
              </w:rPr>
              <w:t xml:space="preserve">Average Monthly Retail Bill </w:t>
            </w:r>
            <w:r w:rsidRPr="004126A0">
              <w:rPr>
                <w:bCs/>
                <w:color w:val="165EA8"/>
              </w:rPr>
              <w:t xml:space="preserve">(€) (ex VAT) </w:t>
            </w:r>
          </w:p>
          <w:p w14:paraId="195BEFCC" w14:textId="759DD9F0" w:rsidR="009F067A" w:rsidRPr="007616EF" w:rsidRDefault="009F067A" w:rsidP="009F067A">
            <w:pPr>
              <w:spacing w:after="0" w:line="259" w:lineRule="auto"/>
              <w:ind w:left="0" w:right="0" w:firstLine="0"/>
              <w:jc w:val="left"/>
              <w:rPr>
                <w:bCs/>
              </w:rPr>
            </w:pPr>
            <w:r>
              <w:rPr>
                <w:i/>
                <w:color w:val="165EA8"/>
              </w:rPr>
              <w:t>(if Wholesale costs &lt; €5,000)</w:t>
            </w:r>
          </w:p>
        </w:tc>
        <w:tc>
          <w:tcPr>
            <w:tcW w:w="4346" w:type="dxa"/>
            <w:tcBorders>
              <w:top w:val="single" w:sz="6" w:space="0" w:color="165EA8"/>
              <w:left w:val="single" w:sz="6" w:space="0" w:color="165EA8"/>
              <w:bottom w:val="single" w:sz="6" w:space="0" w:color="165EA8"/>
              <w:right w:val="single" w:sz="6" w:space="0" w:color="165EA8"/>
            </w:tcBorders>
          </w:tcPr>
          <w:p w14:paraId="03025E68" w14:textId="3095791B" w:rsidR="008C38EC" w:rsidRDefault="007F3B8D" w:rsidP="003E6CC4">
            <w:pPr>
              <w:spacing w:after="14" w:line="259" w:lineRule="auto"/>
              <w:ind w:left="2" w:right="0" w:firstLine="0"/>
              <w:jc w:val="left"/>
            </w:pPr>
            <w:r>
              <w:rPr>
                <w:color w:val="002060"/>
              </w:rPr>
              <w:t xml:space="preserve"> </w:t>
            </w:r>
          </w:p>
        </w:tc>
      </w:tr>
      <w:tr w:rsidR="008C38EC" w14:paraId="2352ED3F" w14:textId="77777777" w:rsidTr="003E6CC4">
        <w:trPr>
          <w:trHeight w:val="545"/>
        </w:trPr>
        <w:tc>
          <w:tcPr>
            <w:tcW w:w="4658" w:type="dxa"/>
            <w:tcBorders>
              <w:top w:val="single" w:sz="6" w:space="0" w:color="165EA8"/>
              <w:left w:val="single" w:sz="6" w:space="0" w:color="165EA8"/>
              <w:bottom w:val="single" w:sz="6" w:space="0" w:color="165EA8"/>
              <w:right w:val="single" w:sz="6" w:space="0" w:color="165EA8"/>
            </w:tcBorders>
          </w:tcPr>
          <w:p w14:paraId="634D217B" w14:textId="288709A7" w:rsidR="008C38EC" w:rsidRDefault="007F3B8D">
            <w:pPr>
              <w:spacing w:after="0" w:line="259" w:lineRule="auto"/>
              <w:ind w:left="0" w:right="0" w:firstLine="0"/>
              <w:jc w:val="left"/>
            </w:pPr>
            <w:r>
              <w:rPr>
                <w:b/>
                <w:color w:val="165EA8"/>
              </w:rPr>
              <w:t xml:space="preserve">Interconnection Operators </w:t>
            </w:r>
            <w:r w:rsidR="003A4DC6">
              <w:rPr>
                <w:b/>
                <w:color w:val="165EA8"/>
              </w:rPr>
              <w:t>in</w:t>
            </w:r>
            <w:r>
              <w:rPr>
                <w:b/>
                <w:color w:val="165EA8"/>
              </w:rPr>
              <w:t xml:space="preserve"> Ireland </w:t>
            </w:r>
          </w:p>
        </w:tc>
        <w:tc>
          <w:tcPr>
            <w:tcW w:w="4346" w:type="dxa"/>
            <w:tcBorders>
              <w:top w:val="single" w:sz="6" w:space="0" w:color="165EA8"/>
              <w:left w:val="single" w:sz="6" w:space="0" w:color="165EA8"/>
              <w:bottom w:val="single" w:sz="6" w:space="0" w:color="165EA8"/>
              <w:right w:val="single" w:sz="6" w:space="0" w:color="165EA8"/>
            </w:tcBorders>
          </w:tcPr>
          <w:p w14:paraId="210A4DAF" w14:textId="77777777" w:rsidR="008C38EC" w:rsidRDefault="007F3B8D">
            <w:pPr>
              <w:spacing w:after="0" w:line="259" w:lineRule="auto"/>
              <w:ind w:left="2" w:right="0" w:firstLine="0"/>
              <w:jc w:val="left"/>
            </w:pPr>
            <w:r>
              <w:rPr>
                <w:color w:val="002060"/>
              </w:rPr>
              <w:t xml:space="preserve"> </w:t>
            </w:r>
          </w:p>
        </w:tc>
      </w:tr>
      <w:tr w:rsidR="008C38EC" w14:paraId="3FDAF552" w14:textId="77777777" w:rsidTr="003E6CC4">
        <w:trPr>
          <w:trHeight w:val="641"/>
        </w:trPr>
        <w:tc>
          <w:tcPr>
            <w:tcW w:w="4658" w:type="dxa"/>
            <w:tcBorders>
              <w:top w:val="single" w:sz="6" w:space="0" w:color="165EA8"/>
              <w:left w:val="single" w:sz="6" w:space="0" w:color="165EA8"/>
              <w:bottom w:val="single" w:sz="6" w:space="0" w:color="165EA8"/>
              <w:right w:val="single" w:sz="6" w:space="0" w:color="165EA8"/>
            </w:tcBorders>
          </w:tcPr>
          <w:p w14:paraId="3F6445FB" w14:textId="1CDCB43E" w:rsidR="008C38EC" w:rsidRDefault="007F3B8D">
            <w:pPr>
              <w:spacing w:after="0" w:line="259" w:lineRule="auto"/>
              <w:ind w:left="0" w:right="0" w:firstLine="0"/>
              <w:jc w:val="left"/>
            </w:pPr>
            <w:r>
              <w:rPr>
                <w:b/>
                <w:color w:val="165EA8"/>
              </w:rPr>
              <w:t xml:space="preserve">Interconnection Operators Outside Ireland </w:t>
            </w:r>
          </w:p>
        </w:tc>
        <w:tc>
          <w:tcPr>
            <w:tcW w:w="4346" w:type="dxa"/>
            <w:tcBorders>
              <w:top w:val="single" w:sz="6" w:space="0" w:color="165EA8"/>
              <w:left w:val="single" w:sz="6" w:space="0" w:color="165EA8"/>
              <w:bottom w:val="single" w:sz="6" w:space="0" w:color="165EA8"/>
              <w:right w:val="single" w:sz="6" w:space="0" w:color="165EA8"/>
            </w:tcBorders>
          </w:tcPr>
          <w:p w14:paraId="04DD7B97" w14:textId="77777777" w:rsidR="008C38EC" w:rsidRDefault="007F3B8D">
            <w:pPr>
              <w:spacing w:after="0" w:line="259" w:lineRule="auto"/>
              <w:ind w:left="2" w:right="0" w:firstLine="0"/>
              <w:jc w:val="left"/>
            </w:pPr>
            <w:r>
              <w:rPr>
                <w:color w:val="002060"/>
              </w:rPr>
              <w:t xml:space="preserve"> </w:t>
            </w:r>
          </w:p>
        </w:tc>
      </w:tr>
      <w:tr w:rsidR="008C38EC" w14:paraId="025F1E59" w14:textId="77777777" w:rsidTr="003E6CC4">
        <w:trPr>
          <w:trHeight w:val="641"/>
        </w:trPr>
        <w:tc>
          <w:tcPr>
            <w:tcW w:w="4658" w:type="dxa"/>
            <w:tcBorders>
              <w:top w:val="single" w:sz="6" w:space="0" w:color="165EA8"/>
              <w:left w:val="single" w:sz="6" w:space="0" w:color="165EA8"/>
              <w:bottom w:val="single" w:sz="6" w:space="0" w:color="165EA8"/>
              <w:right w:val="single" w:sz="6" w:space="0" w:color="165EA8"/>
            </w:tcBorders>
          </w:tcPr>
          <w:p w14:paraId="4E021DBC" w14:textId="77777777" w:rsidR="008C38EC" w:rsidRDefault="007F3B8D">
            <w:pPr>
              <w:spacing w:after="0" w:line="259" w:lineRule="auto"/>
              <w:ind w:left="0" w:right="0" w:firstLine="0"/>
            </w:pPr>
            <w:r>
              <w:rPr>
                <w:b/>
                <w:color w:val="165EA8"/>
              </w:rPr>
              <w:t xml:space="preserve">Portion of costs assigned to each interconnect operator </w:t>
            </w:r>
          </w:p>
        </w:tc>
        <w:tc>
          <w:tcPr>
            <w:tcW w:w="4346" w:type="dxa"/>
            <w:tcBorders>
              <w:top w:val="single" w:sz="6" w:space="0" w:color="165EA8"/>
              <w:left w:val="single" w:sz="6" w:space="0" w:color="165EA8"/>
              <w:bottom w:val="single" w:sz="6" w:space="0" w:color="165EA8"/>
              <w:right w:val="single" w:sz="6" w:space="0" w:color="165EA8"/>
            </w:tcBorders>
          </w:tcPr>
          <w:p w14:paraId="423B920F" w14:textId="77777777" w:rsidR="008C38EC" w:rsidRDefault="007F3B8D">
            <w:pPr>
              <w:spacing w:after="0" w:line="259" w:lineRule="auto"/>
              <w:ind w:left="2" w:right="0" w:firstLine="0"/>
              <w:jc w:val="left"/>
            </w:pPr>
            <w:r>
              <w:rPr>
                <w:color w:val="002060"/>
              </w:rPr>
              <w:t xml:space="preserve"> </w:t>
            </w:r>
          </w:p>
        </w:tc>
      </w:tr>
      <w:tr w:rsidR="008C38EC" w14:paraId="69EC25AA" w14:textId="77777777" w:rsidTr="003E6CC4">
        <w:trPr>
          <w:trHeight w:val="673"/>
        </w:trPr>
        <w:tc>
          <w:tcPr>
            <w:tcW w:w="4658" w:type="dxa"/>
            <w:tcBorders>
              <w:top w:val="single" w:sz="6" w:space="0" w:color="165EA8"/>
              <w:left w:val="single" w:sz="6" w:space="0" w:color="165EA8"/>
              <w:bottom w:val="single" w:sz="6" w:space="0" w:color="165EA8"/>
              <w:right w:val="single" w:sz="6" w:space="0" w:color="165EA8"/>
            </w:tcBorders>
          </w:tcPr>
          <w:p w14:paraId="161BE818" w14:textId="77777777" w:rsidR="008C38EC" w:rsidRDefault="007F3B8D">
            <w:pPr>
              <w:spacing w:after="0" w:line="259" w:lineRule="auto"/>
              <w:ind w:left="0" w:right="63" w:firstLine="0"/>
            </w:pPr>
            <w:r>
              <w:rPr>
                <w:b/>
                <w:color w:val="165EA8"/>
              </w:rPr>
              <w:t>Date/s that payment is due on the relevant calls to</w:t>
            </w:r>
            <w:r>
              <w:rPr>
                <w:color w:val="165EA8"/>
              </w:rPr>
              <w:t xml:space="preserve"> </w:t>
            </w:r>
            <w:r>
              <w:rPr>
                <w:b/>
                <w:color w:val="165EA8"/>
              </w:rPr>
              <w:t xml:space="preserve">Interconnect Operators </w:t>
            </w:r>
          </w:p>
        </w:tc>
        <w:tc>
          <w:tcPr>
            <w:tcW w:w="4346" w:type="dxa"/>
            <w:tcBorders>
              <w:top w:val="single" w:sz="6" w:space="0" w:color="165EA8"/>
              <w:left w:val="single" w:sz="6" w:space="0" w:color="165EA8"/>
              <w:bottom w:val="single" w:sz="6" w:space="0" w:color="165EA8"/>
              <w:right w:val="single" w:sz="6" w:space="0" w:color="165EA8"/>
            </w:tcBorders>
          </w:tcPr>
          <w:p w14:paraId="47A39732" w14:textId="77777777" w:rsidR="008C38EC" w:rsidRDefault="007F3B8D">
            <w:pPr>
              <w:spacing w:after="0" w:line="259" w:lineRule="auto"/>
              <w:ind w:left="2" w:right="0" w:firstLine="0"/>
              <w:jc w:val="left"/>
            </w:pPr>
            <w:r>
              <w:rPr>
                <w:color w:val="002060"/>
              </w:rPr>
              <w:t xml:space="preserve"> </w:t>
            </w:r>
          </w:p>
        </w:tc>
      </w:tr>
      <w:tr w:rsidR="008C38EC" w14:paraId="3A663E87" w14:textId="77777777" w:rsidTr="003E6CC4">
        <w:trPr>
          <w:trHeight w:val="484"/>
        </w:trPr>
        <w:tc>
          <w:tcPr>
            <w:tcW w:w="4658" w:type="dxa"/>
            <w:tcBorders>
              <w:top w:val="single" w:sz="6" w:space="0" w:color="165EA8"/>
              <w:left w:val="single" w:sz="6" w:space="0" w:color="165EA8"/>
              <w:bottom w:val="single" w:sz="6" w:space="0" w:color="165EA8"/>
              <w:right w:val="single" w:sz="6" w:space="0" w:color="165EA8"/>
            </w:tcBorders>
          </w:tcPr>
          <w:p w14:paraId="236DD60F" w14:textId="42A489C9" w:rsidR="008C38EC" w:rsidRDefault="007F3B8D">
            <w:pPr>
              <w:spacing w:after="0" w:line="259" w:lineRule="auto"/>
              <w:ind w:left="0" w:right="0" w:firstLine="0"/>
            </w:pPr>
            <w:r>
              <w:rPr>
                <w:b/>
                <w:color w:val="165EA8"/>
              </w:rPr>
              <w:t xml:space="preserve">Do you maintain the security of the PBX? </w:t>
            </w:r>
          </w:p>
        </w:tc>
        <w:tc>
          <w:tcPr>
            <w:tcW w:w="4346" w:type="dxa"/>
            <w:tcBorders>
              <w:top w:val="single" w:sz="6" w:space="0" w:color="165EA8"/>
              <w:left w:val="single" w:sz="6" w:space="0" w:color="165EA8"/>
              <w:bottom w:val="single" w:sz="6" w:space="0" w:color="165EA8"/>
              <w:right w:val="single" w:sz="6" w:space="0" w:color="165EA8"/>
            </w:tcBorders>
          </w:tcPr>
          <w:p w14:paraId="47B9B51F" w14:textId="77777777" w:rsidR="008C38EC" w:rsidRDefault="007F3B8D">
            <w:pPr>
              <w:spacing w:after="0" w:line="259" w:lineRule="auto"/>
              <w:ind w:left="2" w:right="0" w:firstLine="0"/>
              <w:jc w:val="left"/>
            </w:pPr>
            <w:r>
              <w:rPr>
                <w:color w:val="002060"/>
              </w:rPr>
              <w:t xml:space="preserve"> </w:t>
            </w:r>
          </w:p>
        </w:tc>
      </w:tr>
      <w:tr w:rsidR="00753E2F" w14:paraId="075872CF" w14:textId="77777777" w:rsidTr="003E6CC4">
        <w:trPr>
          <w:trHeight w:val="722"/>
        </w:trPr>
        <w:tc>
          <w:tcPr>
            <w:tcW w:w="4658" w:type="dxa"/>
            <w:tcBorders>
              <w:top w:val="single" w:sz="6" w:space="0" w:color="165EA8"/>
              <w:left w:val="single" w:sz="6" w:space="0" w:color="165EA8"/>
              <w:bottom w:val="single" w:sz="6" w:space="0" w:color="165EA8"/>
              <w:right w:val="single" w:sz="6" w:space="0" w:color="165EA8"/>
            </w:tcBorders>
          </w:tcPr>
          <w:p w14:paraId="64B2CD76" w14:textId="5DCF12E2" w:rsidR="00753E2F" w:rsidRDefault="00E67BB6" w:rsidP="005E5CA3">
            <w:pPr>
              <w:spacing w:after="0" w:line="259" w:lineRule="auto"/>
              <w:ind w:left="0" w:right="0" w:firstLine="0"/>
              <w:rPr>
                <w:b/>
                <w:color w:val="165EA8"/>
              </w:rPr>
            </w:pPr>
            <w:r>
              <w:rPr>
                <w:b/>
                <w:color w:val="165EA8"/>
              </w:rPr>
              <w:t>Is the PBX physically located in the customer premises?</w:t>
            </w:r>
            <w:r w:rsidR="005E5CA3">
              <w:rPr>
                <w:b/>
                <w:color w:val="165EA8"/>
              </w:rPr>
              <w:t xml:space="preserve"> </w:t>
            </w:r>
            <w:r>
              <w:rPr>
                <w:b/>
                <w:color w:val="165EA8"/>
              </w:rPr>
              <w:t>If it is</w:t>
            </w:r>
            <w:r w:rsidR="0029210A">
              <w:rPr>
                <w:b/>
                <w:color w:val="165EA8"/>
              </w:rPr>
              <w:t>,</w:t>
            </w:r>
            <w:r>
              <w:rPr>
                <w:b/>
                <w:color w:val="165EA8"/>
              </w:rPr>
              <w:t xml:space="preserve"> w</w:t>
            </w:r>
            <w:r w:rsidR="00753E2F">
              <w:rPr>
                <w:b/>
                <w:color w:val="165EA8"/>
              </w:rPr>
              <w:t xml:space="preserve">ho installed and </w:t>
            </w:r>
            <w:r>
              <w:rPr>
                <w:b/>
                <w:color w:val="165EA8"/>
              </w:rPr>
              <w:t>w</w:t>
            </w:r>
            <w:r w:rsidR="00753E2F">
              <w:rPr>
                <w:b/>
                <w:color w:val="165EA8"/>
              </w:rPr>
              <w:t>ho maintains the PBX</w:t>
            </w:r>
            <w:r w:rsidR="0029210A">
              <w:rPr>
                <w:b/>
                <w:color w:val="165EA8"/>
              </w:rPr>
              <w:t>?</w:t>
            </w:r>
          </w:p>
        </w:tc>
        <w:tc>
          <w:tcPr>
            <w:tcW w:w="4346" w:type="dxa"/>
            <w:tcBorders>
              <w:top w:val="single" w:sz="6" w:space="0" w:color="165EA8"/>
              <w:left w:val="single" w:sz="6" w:space="0" w:color="165EA8"/>
              <w:bottom w:val="single" w:sz="6" w:space="0" w:color="165EA8"/>
              <w:right w:val="single" w:sz="6" w:space="0" w:color="165EA8"/>
            </w:tcBorders>
          </w:tcPr>
          <w:p w14:paraId="3A812440" w14:textId="77777777" w:rsidR="00753E2F" w:rsidRDefault="00753E2F">
            <w:pPr>
              <w:spacing w:after="0" w:line="259" w:lineRule="auto"/>
              <w:ind w:left="2" w:right="0" w:firstLine="0"/>
              <w:jc w:val="left"/>
              <w:rPr>
                <w:color w:val="002060"/>
              </w:rPr>
            </w:pPr>
          </w:p>
        </w:tc>
      </w:tr>
      <w:tr w:rsidR="008C38EC" w14:paraId="246C37DA" w14:textId="77777777" w:rsidTr="003E6CC4">
        <w:trPr>
          <w:trHeight w:val="722"/>
        </w:trPr>
        <w:tc>
          <w:tcPr>
            <w:tcW w:w="4658" w:type="dxa"/>
            <w:tcBorders>
              <w:top w:val="single" w:sz="6" w:space="0" w:color="165EA8"/>
              <w:left w:val="single" w:sz="6" w:space="0" w:color="165EA8"/>
              <w:bottom w:val="single" w:sz="6" w:space="0" w:color="165EA8"/>
              <w:right w:val="single" w:sz="6" w:space="0" w:color="165EA8"/>
            </w:tcBorders>
          </w:tcPr>
          <w:p w14:paraId="7F7999D4" w14:textId="655A84CE" w:rsidR="008C38EC" w:rsidRDefault="007F3B8D">
            <w:pPr>
              <w:spacing w:after="0" w:line="259" w:lineRule="auto"/>
              <w:ind w:left="0" w:right="0" w:firstLine="0"/>
            </w:pPr>
            <w:r>
              <w:rPr>
                <w:b/>
                <w:color w:val="165EA8"/>
              </w:rPr>
              <w:t xml:space="preserve">What costs will you charge the </w:t>
            </w:r>
            <w:r w:rsidR="004E00FA">
              <w:rPr>
                <w:b/>
                <w:color w:val="165EA8"/>
              </w:rPr>
              <w:t>end-</w:t>
            </w:r>
            <w:r>
              <w:rPr>
                <w:b/>
                <w:color w:val="165EA8"/>
              </w:rPr>
              <w:t xml:space="preserve">user if ComReg intervenes? </w:t>
            </w:r>
          </w:p>
        </w:tc>
        <w:tc>
          <w:tcPr>
            <w:tcW w:w="4346" w:type="dxa"/>
            <w:tcBorders>
              <w:top w:val="single" w:sz="6" w:space="0" w:color="165EA8"/>
              <w:left w:val="single" w:sz="6" w:space="0" w:color="165EA8"/>
              <w:bottom w:val="single" w:sz="6" w:space="0" w:color="165EA8"/>
              <w:right w:val="single" w:sz="6" w:space="0" w:color="165EA8"/>
            </w:tcBorders>
          </w:tcPr>
          <w:p w14:paraId="770F6395" w14:textId="77777777" w:rsidR="008C38EC" w:rsidRDefault="007F3B8D">
            <w:pPr>
              <w:spacing w:after="0" w:line="259" w:lineRule="auto"/>
              <w:ind w:left="2" w:right="0" w:firstLine="0"/>
              <w:jc w:val="left"/>
            </w:pPr>
            <w:r>
              <w:rPr>
                <w:color w:val="002060"/>
              </w:rPr>
              <w:t xml:space="preserve"> </w:t>
            </w:r>
          </w:p>
        </w:tc>
      </w:tr>
      <w:tr w:rsidR="008C38EC" w14:paraId="4EF9116E" w14:textId="77777777" w:rsidTr="003E6CC4">
        <w:trPr>
          <w:trHeight w:val="641"/>
        </w:trPr>
        <w:tc>
          <w:tcPr>
            <w:tcW w:w="4658" w:type="dxa"/>
            <w:tcBorders>
              <w:top w:val="single" w:sz="6" w:space="0" w:color="165EA8"/>
              <w:left w:val="single" w:sz="6" w:space="0" w:color="165EA8"/>
              <w:bottom w:val="single" w:sz="6" w:space="0" w:color="165EA8"/>
              <w:right w:val="single" w:sz="6" w:space="0" w:color="165EA8"/>
            </w:tcBorders>
          </w:tcPr>
          <w:p w14:paraId="66A76F40" w14:textId="5FD1E17C" w:rsidR="0065298D" w:rsidRPr="004126A0" w:rsidRDefault="007F3B8D">
            <w:pPr>
              <w:spacing w:after="0" w:line="259" w:lineRule="auto"/>
              <w:ind w:left="0" w:right="0" w:firstLine="0"/>
              <w:rPr>
                <w:bCs/>
                <w:sz w:val="20"/>
                <w:szCs w:val="20"/>
              </w:rPr>
            </w:pPr>
            <w:r>
              <w:rPr>
                <w:b/>
                <w:color w:val="165EA8"/>
              </w:rPr>
              <w:t xml:space="preserve">What costs will you charge the </w:t>
            </w:r>
            <w:r w:rsidR="004E00FA">
              <w:rPr>
                <w:b/>
                <w:color w:val="165EA8"/>
              </w:rPr>
              <w:t>end-</w:t>
            </w:r>
            <w:r>
              <w:rPr>
                <w:b/>
                <w:color w:val="165EA8"/>
              </w:rPr>
              <w:t xml:space="preserve">user if ComReg does not intervene? </w:t>
            </w:r>
          </w:p>
        </w:tc>
        <w:tc>
          <w:tcPr>
            <w:tcW w:w="4346" w:type="dxa"/>
            <w:tcBorders>
              <w:top w:val="single" w:sz="6" w:space="0" w:color="165EA8"/>
              <w:left w:val="single" w:sz="6" w:space="0" w:color="165EA8"/>
              <w:bottom w:val="single" w:sz="6" w:space="0" w:color="165EA8"/>
              <w:right w:val="single" w:sz="6" w:space="0" w:color="165EA8"/>
            </w:tcBorders>
          </w:tcPr>
          <w:p w14:paraId="4063C7E9" w14:textId="77777777" w:rsidR="008C38EC" w:rsidRDefault="007F3B8D">
            <w:pPr>
              <w:spacing w:after="0" w:line="259" w:lineRule="auto"/>
              <w:ind w:left="2" w:right="0" w:firstLine="0"/>
              <w:jc w:val="left"/>
            </w:pPr>
            <w:r>
              <w:rPr>
                <w:color w:val="002060"/>
              </w:rPr>
              <w:t xml:space="preserve"> </w:t>
            </w:r>
          </w:p>
        </w:tc>
      </w:tr>
    </w:tbl>
    <w:p w14:paraId="01AF5FEC" w14:textId="051F9E6D" w:rsidR="00F644F0" w:rsidRPr="005E5CA3" w:rsidRDefault="00F644F0" w:rsidP="00C91DA4">
      <w:pPr>
        <w:pStyle w:val="Heading1"/>
        <w:ind w:left="-5"/>
      </w:pPr>
      <w:bookmarkStart w:id="9" w:name="_Toc146793354"/>
      <w:r>
        <w:lastRenderedPageBreak/>
        <w:t>Appendix 3 Advice to End Users</w:t>
      </w:r>
      <w:bookmarkEnd w:id="9"/>
    </w:p>
    <w:p w14:paraId="13A2E69A" w14:textId="391DE84D" w:rsidR="00ED0B86" w:rsidRDefault="00ED0B86" w:rsidP="00934201">
      <w:pPr>
        <w:pBdr>
          <w:top w:val="single" w:sz="4" w:space="1" w:color="auto"/>
          <w:left w:val="single" w:sz="4" w:space="4" w:color="auto"/>
          <w:bottom w:val="single" w:sz="4" w:space="1" w:color="auto"/>
          <w:right w:val="single" w:sz="4" w:space="4" w:color="auto"/>
        </w:pBdr>
        <w:spacing w:after="0" w:line="259" w:lineRule="auto"/>
        <w:ind w:left="0" w:right="0" w:firstLine="0"/>
        <w:jc w:val="left"/>
        <w:rPr>
          <w:b/>
          <w:color w:val="165EA8"/>
          <w:sz w:val="48"/>
        </w:rPr>
      </w:pPr>
      <w:r>
        <w:rPr>
          <w:noProof/>
        </w:rPr>
        <w:drawing>
          <wp:inline distT="0" distB="0" distL="0" distR="0" wp14:anchorId="6BBC3CE5" wp14:editId="04D0AED4">
            <wp:extent cx="5657544" cy="3182135"/>
            <wp:effectExtent l="0" t="0" r="63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68792" cy="3188461"/>
                    </a:xfrm>
                    <a:prstGeom prst="rect">
                      <a:avLst/>
                    </a:prstGeom>
                  </pic:spPr>
                </pic:pic>
              </a:graphicData>
            </a:graphic>
          </wp:inline>
        </w:drawing>
      </w:r>
    </w:p>
    <w:p w14:paraId="73E57021" w14:textId="77777777" w:rsidR="00934201" w:rsidRDefault="00934201">
      <w:pPr>
        <w:spacing w:after="0" w:line="259" w:lineRule="auto"/>
        <w:ind w:left="0" w:right="0" w:firstLine="0"/>
        <w:jc w:val="left"/>
        <w:rPr>
          <w:noProof/>
        </w:rPr>
      </w:pPr>
    </w:p>
    <w:p w14:paraId="11151AC3" w14:textId="57DDD29B" w:rsidR="00ED0B86" w:rsidRPr="004126A0" w:rsidRDefault="00934201" w:rsidP="00934201">
      <w:pPr>
        <w:pBdr>
          <w:top w:val="single" w:sz="4" w:space="1" w:color="auto"/>
          <w:left w:val="single" w:sz="4" w:space="4" w:color="auto"/>
          <w:bottom w:val="single" w:sz="4" w:space="1" w:color="auto"/>
          <w:right w:val="single" w:sz="4" w:space="4" w:color="auto"/>
        </w:pBdr>
        <w:spacing w:after="0" w:line="259" w:lineRule="auto"/>
        <w:ind w:left="0" w:right="0" w:firstLine="0"/>
        <w:jc w:val="left"/>
        <w:rPr>
          <w:b/>
          <w:color w:val="165EA8"/>
          <w:sz w:val="48"/>
        </w:rPr>
      </w:pPr>
      <w:r>
        <w:rPr>
          <w:noProof/>
        </w:rPr>
        <w:drawing>
          <wp:inline distT="0" distB="0" distL="0" distR="0" wp14:anchorId="6EBB134A" wp14:editId="04BCA771">
            <wp:extent cx="5734050" cy="322516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4050" cy="3225165"/>
                    </a:xfrm>
                    <a:prstGeom prst="rect">
                      <a:avLst/>
                    </a:prstGeom>
                  </pic:spPr>
                </pic:pic>
              </a:graphicData>
            </a:graphic>
          </wp:inline>
        </w:drawing>
      </w:r>
    </w:p>
    <w:sectPr w:rsidR="00ED0B86" w:rsidRPr="004126A0" w:rsidSect="008C3FE9">
      <w:headerReference w:type="even" r:id="rId17"/>
      <w:headerReference w:type="default" r:id="rId18"/>
      <w:footerReference w:type="even" r:id="rId19"/>
      <w:footerReference w:type="default" r:id="rId20"/>
      <w:headerReference w:type="first" r:id="rId21"/>
      <w:footerReference w:type="first" r:id="rId22"/>
      <w:pgSz w:w="11906" w:h="16838"/>
      <w:pgMar w:top="1706" w:right="1436" w:bottom="1441" w:left="1440" w:header="715"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1FBA0" w14:textId="77777777" w:rsidR="005D36C5" w:rsidRDefault="005D36C5">
      <w:pPr>
        <w:spacing w:after="0" w:line="240" w:lineRule="auto"/>
      </w:pPr>
      <w:r>
        <w:separator/>
      </w:r>
    </w:p>
  </w:endnote>
  <w:endnote w:type="continuationSeparator" w:id="0">
    <w:p w14:paraId="5ED0C668" w14:textId="77777777" w:rsidR="005D36C5" w:rsidRDefault="005D3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9804" w14:textId="77777777" w:rsidR="008C38EC" w:rsidRDefault="007F3B8D">
    <w:pPr>
      <w:spacing w:after="0" w:line="259" w:lineRule="auto"/>
      <w:ind w:left="0" w:right="0" w:firstLine="0"/>
      <w:jc w:val="right"/>
    </w:pPr>
    <w:r>
      <w:rPr>
        <w:sz w:val="18"/>
      </w:rPr>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of </w:t>
    </w:r>
    <w:r w:rsidR="00597913">
      <w:fldChar w:fldCharType="begin"/>
    </w:r>
    <w:r w:rsidR="00597913">
      <w:instrText xml:space="preserve"> NUMPAGES   \* MERGEFORMAT </w:instrText>
    </w:r>
    <w:r w:rsidR="00597913">
      <w:fldChar w:fldCharType="separate"/>
    </w:r>
    <w:r>
      <w:rPr>
        <w:sz w:val="18"/>
      </w:rPr>
      <w:t>12</w:t>
    </w:r>
    <w:r w:rsidR="00597913">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3DBE" w14:textId="77777777" w:rsidR="008C3FE9" w:rsidRDefault="008C3FE9" w:rsidP="008C3FE9">
    <w:pPr>
      <w:spacing w:after="9" w:line="259" w:lineRule="auto"/>
      <w:ind w:left="-5" w:right="0" w:hanging="10"/>
      <w:jc w:val="left"/>
      <w:rPr>
        <w:rFonts w:ascii="Verdana" w:eastAsia="Verdana" w:hAnsi="Verdana" w:cs="Verdana"/>
        <w:color w:val="165EA8"/>
        <w:sz w:val="16"/>
      </w:rPr>
    </w:pPr>
  </w:p>
  <w:p w14:paraId="1B843827" w14:textId="77777777" w:rsidR="008C38EC" w:rsidRDefault="007F3B8D">
    <w:pPr>
      <w:spacing w:after="0" w:line="259" w:lineRule="auto"/>
      <w:ind w:left="0" w:right="0" w:firstLine="0"/>
      <w:jc w:val="right"/>
    </w:pPr>
    <w:r>
      <w:rPr>
        <w:sz w:val="18"/>
      </w:rPr>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of </w:t>
    </w:r>
    <w:r w:rsidR="00597913">
      <w:fldChar w:fldCharType="begin"/>
    </w:r>
    <w:r w:rsidR="00597913">
      <w:instrText xml:space="preserve"> NUMPAGES   \* MERGEFORMAT </w:instrText>
    </w:r>
    <w:r w:rsidR="00597913">
      <w:fldChar w:fldCharType="separate"/>
    </w:r>
    <w:r>
      <w:rPr>
        <w:sz w:val="18"/>
      </w:rPr>
      <w:t>12</w:t>
    </w:r>
    <w:r w:rsidR="00597913">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9925" w14:textId="77777777" w:rsidR="008C38EC" w:rsidRDefault="007F3B8D">
    <w:pPr>
      <w:spacing w:after="0" w:line="259" w:lineRule="auto"/>
      <w:ind w:left="0" w:right="0" w:firstLine="0"/>
      <w:jc w:val="right"/>
    </w:pPr>
    <w:r>
      <w:rPr>
        <w:sz w:val="18"/>
      </w:rPr>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of </w:t>
    </w:r>
    <w:r w:rsidR="00597913">
      <w:fldChar w:fldCharType="begin"/>
    </w:r>
    <w:r w:rsidR="00597913">
      <w:instrText xml:space="preserve"> NUMPAGES   \* MERGEFORMAT </w:instrText>
    </w:r>
    <w:r w:rsidR="00597913">
      <w:fldChar w:fldCharType="separate"/>
    </w:r>
    <w:r>
      <w:rPr>
        <w:sz w:val="18"/>
      </w:rPr>
      <w:t>12</w:t>
    </w:r>
    <w:r w:rsidR="00597913">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6608" w14:textId="77777777" w:rsidR="005D36C5" w:rsidRDefault="005D36C5">
      <w:pPr>
        <w:spacing w:after="0" w:line="259" w:lineRule="auto"/>
        <w:ind w:left="0" w:right="0" w:firstLine="0"/>
        <w:jc w:val="left"/>
      </w:pPr>
      <w:r>
        <w:separator/>
      </w:r>
    </w:p>
  </w:footnote>
  <w:footnote w:type="continuationSeparator" w:id="0">
    <w:p w14:paraId="601F2ABF" w14:textId="77777777" w:rsidR="005D36C5" w:rsidRDefault="005D36C5">
      <w:pPr>
        <w:spacing w:after="0" w:line="259" w:lineRule="auto"/>
        <w:ind w:left="0" w:right="0" w:firstLine="0"/>
        <w:jc w:val="left"/>
      </w:pPr>
      <w:r>
        <w:continuationSeparator/>
      </w:r>
    </w:p>
  </w:footnote>
  <w:footnote w:id="1">
    <w:p w14:paraId="5628CD9A" w14:textId="58913BC6" w:rsidR="00054198" w:rsidRPr="008C50C2" w:rsidRDefault="00054198" w:rsidP="008C50C2">
      <w:pPr>
        <w:pStyle w:val="FootnoteText"/>
        <w:ind w:left="360"/>
        <w:rPr>
          <w:sz w:val="18"/>
          <w:szCs w:val="22"/>
          <w:lang w:val="fr-FR"/>
        </w:rPr>
      </w:pPr>
      <w:r>
        <w:rPr>
          <w:rStyle w:val="FootnoteReference"/>
        </w:rPr>
        <w:footnoteRef/>
      </w:r>
      <w:r>
        <w:t xml:space="preserve"> </w:t>
      </w:r>
      <w:r w:rsidRPr="008C50C2">
        <w:rPr>
          <w:sz w:val="18"/>
          <w:szCs w:val="22"/>
          <w:lang w:val="fr-FR"/>
        </w:rPr>
        <w:t>Directive (EU) 2018/1972 of the European Parliament and of the Council of 11 December 2018 establishing the European Electronic Communications Code.</w:t>
      </w:r>
    </w:p>
  </w:footnote>
  <w:footnote w:id="2">
    <w:p w14:paraId="18DB86A4" w14:textId="77777777" w:rsidR="008C38EC" w:rsidRPr="00265A91" w:rsidRDefault="007F3B8D">
      <w:pPr>
        <w:pStyle w:val="footnotedescription"/>
        <w:rPr>
          <w:lang w:val="fr-FR"/>
        </w:rPr>
      </w:pPr>
      <w:r>
        <w:rPr>
          <w:rStyle w:val="footnotemark"/>
        </w:rPr>
        <w:footnoteRef/>
      </w:r>
      <w:r w:rsidRPr="00265A91">
        <w:rPr>
          <w:lang w:val="fr-FR"/>
        </w:rPr>
        <w:t xml:space="preserve"> </w:t>
      </w:r>
      <w:r w:rsidRPr="00265A91">
        <w:rPr>
          <w:sz w:val="18"/>
          <w:lang w:val="fr-FR"/>
        </w:rPr>
        <w:t xml:space="preserve">Document number: BoR (13) 37 Document date: 07.03.2013 </w:t>
      </w:r>
    </w:p>
    <w:p w14:paraId="38C9077D" w14:textId="77777777" w:rsidR="008C38EC" w:rsidRPr="00265A91" w:rsidRDefault="00597913">
      <w:pPr>
        <w:pStyle w:val="footnotedescription"/>
        <w:spacing w:line="234" w:lineRule="auto"/>
        <w:jc w:val="both"/>
        <w:rPr>
          <w:lang w:val="fr-FR"/>
        </w:rPr>
      </w:pPr>
      <w:hyperlink r:id="rId1">
        <w:r w:rsidR="007F3B8D" w:rsidRPr="00A7097B">
          <w:rPr>
            <w:color w:val="0000FF"/>
            <w:sz w:val="18"/>
            <w:u w:val="single" w:color="0000FF"/>
            <w:lang w:val="fr-FR"/>
          </w:rPr>
          <w:t>http://berec.europa.eu/eng/document_register/subject_matter/berec/regulatory_best_practices/guideli</w:t>
        </w:r>
      </w:hyperlink>
      <w:hyperlink r:id="rId2">
        <w:r w:rsidR="007F3B8D" w:rsidRPr="00265A91">
          <w:rPr>
            <w:color w:val="0000FF"/>
            <w:sz w:val="18"/>
            <w:u w:val="single" w:color="0000FF"/>
            <w:lang w:val="fr-FR"/>
          </w:rPr>
          <w:t xml:space="preserve"> </w:t>
        </w:r>
      </w:hyperlink>
      <w:hyperlink r:id="rId3">
        <w:r w:rsidR="007F3B8D" w:rsidRPr="00265A91">
          <w:rPr>
            <w:color w:val="0000FF"/>
            <w:sz w:val="18"/>
            <w:u w:val="single" w:color="0000FF"/>
            <w:lang w:val="fr-FR"/>
          </w:rPr>
          <w:t>nes/1187</w:t>
        </w:r>
      </w:hyperlink>
      <w:hyperlink r:id="rId4">
        <w:r w:rsidR="007F3B8D" w:rsidRPr="00265A91">
          <w:rPr>
            <w:color w:val="0000FF"/>
            <w:sz w:val="18"/>
            <w:u w:val="single" w:color="0000FF"/>
            <w:lang w:val="fr-FR"/>
          </w:rPr>
          <w:t>-</w:t>
        </w:r>
      </w:hyperlink>
      <w:hyperlink r:id="rId5">
        <w:r w:rsidR="007F3B8D" w:rsidRPr="00265A91">
          <w:rPr>
            <w:color w:val="0000FF"/>
            <w:sz w:val="18"/>
            <w:u w:val="single" w:color="0000FF"/>
            <w:lang w:val="fr-FR"/>
          </w:rPr>
          <w:t>draft</w:t>
        </w:r>
      </w:hyperlink>
      <w:hyperlink r:id="rId6"/>
      <w:hyperlink r:id="rId7">
        <w:r w:rsidR="007F3B8D" w:rsidRPr="00265A91">
          <w:rPr>
            <w:color w:val="0000FF"/>
            <w:sz w:val="18"/>
            <w:u w:val="single" w:color="0000FF"/>
            <w:lang w:val="fr-FR"/>
          </w:rPr>
          <w:t>berec</w:t>
        </w:r>
      </w:hyperlink>
      <w:hyperlink r:id="rId8">
        <w:r w:rsidR="007F3B8D" w:rsidRPr="00265A91">
          <w:rPr>
            <w:color w:val="0000FF"/>
            <w:sz w:val="18"/>
            <w:u w:val="single" w:color="0000FF"/>
            <w:lang w:val="fr-FR"/>
          </w:rPr>
          <w:t>-</w:t>
        </w:r>
      </w:hyperlink>
      <w:hyperlink r:id="rId9">
        <w:r w:rsidR="007F3B8D" w:rsidRPr="00265A91">
          <w:rPr>
            <w:color w:val="0000FF"/>
            <w:sz w:val="18"/>
            <w:u w:val="single" w:color="0000FF"/>
            <w:lang w:val="fr-FR"/>
          </w:rPr>
          <w:t>guidance</w:t>
        </w:r>
      </w:hyperlink>
      <w:hyperlink r:id="rId10">
        <w:r w:rsidR="007F3B8D" w:rsidRPr="00265A91">
          <w:rPr>
            <w:color w:val="0000FF"/>
            <w:sz w:val="18"/>
            <w:u w:val="single" w:color="0000FF"/>
            <w:lang w:val="fr-FR"/>
          </w:rPr>
          <w:t>-</w:t>
        </w:r>
      </w:hyperlink>
      <w:hyperlink r:id="rId11">
        <w:r w:rsidR="007F3B8D" w:rsidRPr="00A7097B">
          <w:rPr>
            <w:color w:val="0000FF"/>
            <w:sz w:val="18"/>
            <w:u w:val="single" w:color="0000FF"/>
            <w:lang w:val="fr-FR"/>
          </w:rPr>
          <w:t>paper</w:t>
        </w:r>
      </w:hyperlink>
      <w:hyperlink r:id="rId12">
        <w:r w:rsidR="007F3B8D" w:rsidRPr="00265A91">
          <w:rPr>
            <w:color w:val="0000FF"/>
            <w:sz w:val="18"/>
            <w:u w:val="single" w:color="0000FF"/>
            <w:lang w:val="fr-FR"/>
          </w:rPr>
          <w:t>-</w:t>
        </w:r>
      </w:hyperlink>
      <w:hyperlink r:id="rId13">
        <w:r w:rsidR="007F3B8D" w:rsidRPr="00A7097B">
          <w:rPr>
            <w:color w:val="0000FF"/>
            <w:sz w:val="18"/>
            <w:u w:val="single" w:color="0000FF"/>
            <w:lang w:val="fr-FR"/>
          </w:rPr>
          <w:t>article</w:t>
        </w:r>
      </w:hyperlink>
      <w:hyperlink r:id="rId14">
        <w:r w:rsidR="007F3B8D" w:rsidRPr="00A7097B">
          <w:rPr>
            <w:color w:val="0000FF"/>
            <w:sz w:val="18"/>
            <w:u w:val="single" w:color="0000FF"/>
            <w:lang w:val="fr-FR"/>
          </w:rPr>
          <w:t>-</w:t>
        </w:r>
      </w:hyperlink>
      <w:hyperlink r:id="rId15">
        <w:r w:rsidR="007F3B8D" w:rsidRPr="00265A91">
          <w:rPr>
            <w:color w:val="0000FF"/>
            <w:sz w:val="18"/>
            <w:u w:val="single" w:color="0000FF"/>
            <w:lang w:val="fr-FR"/>
          </w:rPr>
          <w:t>282</w:t>
        </w:r>
      </w:hyperlink>
      <w:hyperlink r:id="rId16">
        <w:r w:rsidR="007F3B8D" w:rsidRPr="00265A91">
          <w:rPr>
            <w:color w:val="0000FF"/>
            <w:sz w:val="18"/>
            <w:u w:val="single" w:color="0000FF"/>
            <w:lang w:val="fr-FR"/>
          </w:rPr>
          <w:t>-</w:t>
        </w:r>
      </w:hyperlink>
      <w:hyperlink r:id="rId17">
        <w:r w:rsidR="007F3B8D" w:rsidRPr="00265A91">
          <w:rPr>
            <w:color w:val="0000FF"/>
            <w:sz w:val="18"/>
            <w:u w:val="single" w:color="0000FF"/>
            <w:lang w:val="fr-FR"/>
          </w:rPr>
          <w:t>universal</w:t>
        </w:r>
      </w:hyperlink>
      <w:hyperlink r:id="rId18">
        <w:r w:rsidR="007F3B8D" w:rsidRPr="00265A91">
          <w:rPr>
            <w:color w:val="0000FF"/>
            <w:sz w:val="18"/>
            <w:u w:val="single" w:color="0000FF"/>
            <w:lang w:val="fr-FR"/>
          </w:rPr>
          <w:t>-</w:t>
        </w:r>
      </w:hyperlink>
      <w:hyperlink r:id="rId19">
        <w:r w:rsidR="007F3B8D" w:rsidRPr="00265A91">
          <w:rPr>
            <w:color w:val="0000FF"/>
            <w:sz w:val="18"/>
            <w:u w:val="single" w:color="0000FF"/>
            <w:lang w:val="fr-FR"/>
          </w:rPr>
          <w:t>service</w:t>
        </w:r>
      </w:hyperlink>
      <w:hyperlink r:id="rId20">
        <w:r w:rsidR="007F3B8D" w:rsidRPr="00265A91">
          <w:rPr>
            <w:color w:val="0000FF"/>
            <w:sz w:val="18"/>
            <w:u w:val="single" w:color="0000FF"/>
            <w:lang w:val="fr-FR"/>
          </w:rPr>
          <w:t>-</w:t>
        </w:r>
      </w:hyperlink>
      <w:hyperlink r:id="rId21">
        <w:r w:rsidR="007F3B8D" w:rsidRPr="00265A91">
          <w:rPr>
            <w:color w:val="0000FF"/>
            <w:sz w:val="18"/>
            <w:u w:val="single" w:color="0000FF"/>
            <w:lang w:val="fr-FR"/>
          </w:rPr>
          <w:t>directive</w:t>
        </w:r>
      </w:hyperlink>
      <w:hyperlink r:id="rId22">
        <w:r w:rsidR="007F3B8D" w:rsidRPr="00265A91">
          <w:rPr>
            <w:color w:val="0000FF"/>
            <w:sz w:val="18"/>
            <w:u w:val="single" w:color="0000FF"/>
            <w:lang w:val="fr-FR"/>
          </w:rPr>
          <w:t>-</w:t>
        </w:r>
      </w:hyperlink>
      <w:hyperlink r:id="rId23">
        <w:r w:rsidR="007F3B8D" w:rsidRPr="00265A91">
          <w:rPr>
            <w:color w:val="0000FF"/>
            <w:sz w:val="18"/>
            <w:u w:val="single" w:color="0000FF"/>
            <w:lang w:val="fr-FR"/>
          </w:rPr>
          <w:t>a</w:t>
        </w:r>
      </w:hyperlink>
      <w:hyperlink r:id="rId24">
        <w:r w:rsidR="007F3B8D" w:rsidRPr="00265A91">
          <w:rPr>
            <w:color w:val="0000FF"/>
            <w:sz w:val="18"/>
            <w:u w:val="single" w:color="0000FF"/>
            <w:lang w:val="fr-FR"/>
          </w:rPr>
          <w:t>-</w:t>
        </w:r>
      </w:hyperlink>
      <w:hyperlink r:id="rId25">
        <w:r w:rsidR="007F3B8D" w:rsidRPr="00265A91">
          <w:rPr>
            <w:color w:val="0000FF"/>
            <w:sz w:val="18"/>
            <w:u w:val="single" w:color="0000FF"/>
            <w:lang w:val="fr-FR"/>
          </w:rPr>
          <w:t>harmonised</w:t>
        </w:r>
      </w:hyperlink>
      <w:hyperlink r:id="rId26">
        <w:r w:rsidR="007F3B8D" w:rsidRPr="00265A91">
          <w:rPr>
            <w:color w:val="0000FF"/>
            <w:sz w:val="18"/>
            <w:u w:val="single" w:color="0000FF"/>
            <w:lang w:val="fr-FR"/>
          </w:rPr>
          <w:t>-</w:t>
        </w:r>
      </w:hyperlink>
      <w:hyperlink r:id="rId27">
        <w:r w:rsidR="007F3B8D" w:rsidRPr="00265A91">
          <w:rPr>
            <w:color w:val="0000FF"/>
            <w:sz w:val="18"/>
            <w:u w:val="single" w:color="0000FF"/>
            <w:lang w:val="fr-FR"/>
          </w:rPr>
          <w:t>berec</w:t>
        </w:r>
      </w:hyperlink>
      <w:hyperlink r:id="rId28">
        <w:r w:rsidR="007F3B8D" w:rsidRPr="00265A91">
          <w:rPr>
            <w:color w:val="0000FF"/>
            <w:sz w:val="18"/>
            <w:u w:val="single" w:color="0000FF"/>
            <w:lang w:val="fr-FR"/>
          </w:rPr>
          <w:t>-</w:t>
        </w:r>
      </w:hyperlink>
      <w:hyperlink r:id="rId29">
        <w:r w:rsidR="007F3B8D" w:rsidRPr="00265A91">
          <w:rPr>
            <w:color w:val="0000FF"/>
            <w:sz w:val="18"/>
            <w:u w:val="single" w:color="0000FF"/>
            <w:lang w:val="fr-FR"/>
          </w:rPr>
          <w:t xml:space="preserve"> </w:t>
        </w:r>
      </w:hyperlink>
      <w:hyperlink r:id="rId30">
        <w:r w:rsidR="007F3B8D" w:rsidRPr="00265A91">
          <w:rPr>
            <w:color w:val="0000FF"/>
            <w:sz w:val="18"/>
            <w:u w:val="single" w:color="0000FF"/>
            <w:lang w:val="fr-FR"/>
          </w:rPr>
          <w:t>cooperation</w:t>
        </w:r>
      </w:hyperlink>
      <w:hyperlink r:id="rId31">
        <w:r w:rsidR="007F3B8D" w:rsidRPr="00265A91">
          <w:rPr>
            <w:color w:val="0000FF"/>
            <w:sz w:val="18"/>
            <w:u w:val="single" w:color="0000FF"/>
            <w:lang w:val="fr-FR"/>
          </w:rPr>
          <w:t>-</w:t>
        </w:r>
      </w:hyperlink>
      <w:hyperlink r:id="rId32">
        <w:r w:rsidR="007F3B8D" w:rsidRPr="00265A91">
          <w:rPr>
            <w:color w:val="0000FF"/>
            <w:sz w:val="18"/>
            <w:u w:val="single" w:color="0000FF"/>
            <w:lang w:val="fr-FR"/>
          </w:rPr>
          <w:t>process</w:t>
        </w:r>
      </w:hyperlink>
      <w:hyperlink r:id="rId33">
        <w:r w:rsidR="007F3B8D" w:rsidRPr="00265A91">
          <w:rPr>
            <w:lang w:val="fr-FR"/>
          </w:rPr>
          <w:t xml:space="preserve"> </w:t>
        </w:r>
      </w:hyperlink>
    </w:p>
  </w:footnote>
  <w:footnote w:id="3">
    <w:p w14:paraId="0058AE46" w14:textId="1BA8331D" w:rsidR="0023119B" w:rsidRPr="00933258" w:rsidRDefault="0023119B">
      <w:pPr>
        <w:pStyle w:val="FootnoteText"/>
        <w:rPr>
          <w:lang w:val="fr-FR"/>
        </w:rPr>
      </w:pPr>
      <w:r>
        <w:rPr>
          <w:rStyle w:val="FootnoteReference"/>
        </w:rPr>
        <w:footnoteRef/>
      </w:r>
      <w:r w:rsidRPr="00933258">
        <w:rPr>
          <w:lang w:val="fr-FR"/>
        </w:rPr>
        <w:t xml:space="preserve"> Universal Service Directive</w:t>
      </w:r>
    </w:p>
  </w:footnote>
  <w:footnote w:id="4">
    <w:p w14:paraId="13310BF2" w14:textId="77777777" w:rsidR="008C38EC" w:rsidRPr="00D57199" w:rsidRDefault="007F3B8D">
      <w:pPr>
        <w:pStyle w:val="footnotedescription"/>
        <w:rPr>
          <w:lang w:val="fr-FR"/>
        </w:rPr>
      </w:pPr>
      <w:r>
        <w:rPr>
          <w:rStyle w:val="footnotemark"/>
        </w:rPr>
        <w:footnoteRef/>
      </w:r>
      <w:r w:rsidRPr="00D57199">
        <w:rPr>
          <w:lang w:val="fr-FR"/>
        </w:rPr>
        <w:t xml:space="preserve"> See in this regard paragraph 22 and paragraphs 214-219 of the BEREC guidance paper. </w:t>
      </w:r>
    </w:p>
  </w:footnote>
  <w:footnote w:id="5">
    <w:p w14:paraId="5BA40BF8" w14:textId="77777777" w:rsidR="008C38EC" w:rsidRDefault="007F3B8D">
      <w:pPr>
        <w:pStyle w:val="footnotedescription"/>
        <w:spacing w:line="244" w:lineRule="auto"/>
        <w:ind w:right="9"/>
        <w:jc w:val="both"/>
      </w:pPr>
      <w:r>
        <w:rPr>
          <w:rStyle w:val="footnotemark"/>
        </w:rPr>
        <w:footnoteRef/>
      </w:r>
      <w:r>
        <w:t xml:space="preserve"> In some incidents ComReg has observed multiple separate wholesale traffic routes and payment paths over multiple operators. In these circumstances, one or two operators will carry the bulk of the calls with a very small number of calls being carried by other operators. In such circumstances, individual operators with very low call volumes will have very low wholesale costs as a result.  </w:t>
      </w:r>
    </w:p>
  </w:footnote>
  <w:footnote w:id="6">
    <w:p w14:paraId="3F6C06C1" w14:textId="77777777" w:rsidR="008C38EC" w:rsidRDefault="007F3B8D">
      <w:pPr>
        <w:pStyle w:val="footnotedescription"/>
      </w:pPr>
      <w:r>
        <w:rPr>
          <w:rStyle w:val="footnotemark"/>
        </w:rPr>
        <w:footnoteRef/>
      </w:r>
      <w:r>
        <w:t xml:space="preserve"> See in this regard paragraph 217-218 of the BEREC Guidance Paper. </w:t>
      </w:r>
    </w:p>
  </w:footnote>
  <w:footnote w:id="7">
    <w:p w14:paraId="2E4BF5E7" w14:textId="77777777" w:rsidR="008C38EC" w:rsidRDefault="007F3B8D">
      <w:pPr>
        <w:pStyle w:val="footnotedescription"/>
      </w:pPr>
      <w:r>
        <w:rPr>
          <w:rStyle w:val="footnotemark"/>
        </w:rPr>
        <w:footnoteRef/>
      </w:r>
      <w:r>
        <w:t xml:space="preserve"> See paragraph 219 of the BEREC Guidance Paper. </w:t>
      </w:r>
    </w:p>
  </w:footnote>
  <w:footnote w:id="8">
    <w:p w14:paraId="332565F3" w14:textId="77777777" w:rsidR="008C38EC" w:rsidRDefault="007F3B8D">
      <w:pPr>
        <w:pStyle w:val="footnotedescription"/>
        <w:spacing w:after="104"/>
      </w:pPr>
      <w:r>
        <w:rPr>
          <w:rStyle w:val="footnotemark"/>
        </w:rPr>
        <w:footnoteRef/>
      </w:r>
      <w:r>
        <w:t xml:space="preserve"> See Appendix: 2 </w:t>
      </w:r>
    </w:p>
  </w:footnote>
  <w:footnote w:id="9">
    <w:p w14:paraId="3CC4FC9C" w14:textId="77777777" w:rsidR="008C38EC" w:rsidRDefault="007F3B8D">
      <w:pPr>
        <w:pStyle w:val="footnotedescription"/>
      </w:pPr>
      <w:r>
        <w:rPr>
          <w:rStyle w:val="footnotemark"/>
        </w:rPr>
        <w:footnoteRef/>
      </w:r>
      <w:r>
        <w:t xml:space="preserve"> See Appendix: 1 </w:t>
      </w:r>
    </w:p>
  </w:footnote>
  <w:footnote w:id="10">
    <w:p w14:paraId="6C1BC4A3" w14:textId="77777777" w:rsidR="008C38EC" w:rsidRDefault="007F3B8D">
      <w:pPr>
        <w:pStyle w:val="footnotedescription"/>
        <w:spacing w:line="255" w:lineRule="auto"/>
        <w:jc w:val="both"/>
      </w:pPr>
      <w:r>
        <w:rPr>
          <w:rStyle w:val="footnotemark"/>
        </w:rPr>
        <w:footnoteRef/>
      </w:r>
      <w:r>
        <w:t xml:space="preserve"> When an onward operator has operations within Ireland, and outside of the state, the jurisdiction within which the interconnect operator is operating should also be noted.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16DA" w14:textId="791DD735" w:rsidR="008C38EC" w:rsidRDefault="007F3B8D">
    <w:pPr>
      <w:tabs>
        <w:tab w:val="right" w:pos="9030"/>
      </w:tabs>
      <w:spacing w:after="0" w:line="259" w:lineRule="auto"/>
      <w:ind w:left="0" w:right="0" w:firstLine="0"/>
      <w:jc w:val="left"/>
    </w:pPr>
    <w:r>
      <w:rPr>
        <w:sz w:val="20"/>
      </w:rPr>
      <w:t xml:space="preserve">Regulation </w:t>
    </w:r>
    <w:r w:rsidR="00460578">
      <w:rPr>
        <w:sz w:val="20"/>
      </w:rPr>
      <w:t>8</w:t>
    </w:r>
    <w:r>
      <w:rPr>
        <w:sz w:val="20"/>
      </w:rPr>
      <w:t xml:space="preserve">3(2) Process – Information Notice </w:t>
    </w:r>
    <w:r>
      <w:rPr>
        <w:sz w:val="20"/>
      </w:rPr>
      <w:tab/>
      <w:t>ComReg 18/119</w:t>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7EB80" w14:textId="1BF665D4" w:rsidR="008C38EC" w:rsidRDefault="007F3B8D">
    <w:pPr>
      <w:tabs>
        <w:tab w:val="right" w:pos="9030"/>
      </w:tabs>
      <w:spacing w:after="0" w:line="259" w:lineRule="auto"/>
      <w:ind w:left="0" w:right="0" w:firstLine="0"/>
      <w:jc w:val="left"/>
    </w:pPr>
    <w:r>
      <w:rPr>
        <w:sz w:val="20"/>
      </w:rPr>
      <w:t xml:space="preserve">Regulation </w:t>
    </w:r>
    <w:r w:rsidR="00B85EAC">
      <w:rPr>
        <w:sz w:val="20"/>
      </w:rPr>
      <w:t>83</w:t>
    </w:r>
    <w:r>
      <w:rPr>
        <w:sz w:val="20"/>
      </w:rPr>
      <w:t xml:space="preserve">(2) Process – Information Notice </w:t>
    </w:r>
    <w:r>
      <w:rPr>
        <w:sz w:val="20"/>
      </w:rPr>
      <w:tab/>
      <w:t>ComReg 18/119</w:t>
    </w:r>
    <w:r w:rsidR="008C50C2">
      <w:rPr>
        <w:rFonts w:ascii="Calibri" w:eastAsia="Calibri" w:hAnsi="Calibri" w:cs="Calibri"/>
      </w:rPr>
      <w:t>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57AE" w14:textId="77777777" w:rsidR="008C38EC" w:rsidRDefault="007F3B8D">
    <w:pPr>
      <w:tabs>
        <w:tab w:val="right" w:pos="9030"/>
      </w:tabs>
      <w:spacing w:after="0" w:line="259" w:lineRule="auto"/>
      <w:ind w:left="0" w:right="0" w:firstLine="0"/>
      <w:jc w:val="left"/>
    </w:pPr>
    <w:r>
      <w:rPr>
        <w:sz w:val="20"/>
      </w:rPr>
      <w:t xml:space="preserve">Regulation 23(2) Process – Information Notice </w:t>
    </w:r>
    <w:r>
      <w:rPr>
        <w:sz w:val="20"/>
      </w:rPr>
      <w:tab/>
      <w:t>ComReg 18/119</w:t>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1DC"/>
    <w:multiLevelType w:val="hybridMultilevel"/>
    <w:tmpl w:val="E5BAD41A"/>
    <w:lvl w:ilvl="0" w:tplc="A18E5786">
      <w:start w:val="34"/>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747AF8">
      <w:start w:val="1"/>
      <w:numFmt w:val="lowerLetter"/>
      <w:lvlText w:val="%2."/>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C8C77A">
      <w:start w:val="1"/>
      <w:numFmt w:val="lowerRoman"/>
      <w:lvlText w:val="%3"/>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C4F9CE">
      <w:start w:val="1"/>
      <w:numFmt w:val="decimal"/>
      <w:lvlText w:val="%4"/>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AAB18">
      <w:start w:val="1"/>
      <w:numFmt w:val="lowerLetter"/>
      <w:lvlText w:val="%5"/>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206D56">
      <w:start w:val="1"/>
      <w:numFmt w:val="lowerRoman"/>
      <w:lvlText w:val="%6"/>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E0F6D4">
      <w:start w:val="1"/>
      <w:numFmt w:val="decimal"/>
      <w:lvlText w:val="%7"/>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62440">
      <w:start w:val="1"/>
      <w:numFmt w:val="lowerLetter"/>
      <w:lvlText w:val="%8"/>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7A1D36">
      <w:start w:val="1"/>
      <w:numFmt w:val="lowerRoman"/>
      <w:lvlText w:val="%9"/>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FE2313"/>
    <w:multiLevelType w:val="multilevel"/>
    <w:tmpl w:val="858E3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A7EF3"/>
    <w:multiLevelType w:val="hybridMultilevel"/>
    <w:tmpl w:val="0D76AE3E"/>
    <w:lvl w:ilvl="0" w:tplc="2C7AB126">
      <w:start w:val="8"/>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CC3D14">
      <w:start w:val="1"/>
      <w:numFmt w:val="lowerLetter"/>
      <w:lvlText w:val="%2."/>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145FA6">
      <w:start w:val="1"/>
      <w:numFmt w:val="lowerRoman"/>
      <w:lvlText w:val="%3"/>
      <w:lvlJc w:val="left"/>
      <w:pPr>
        <w:ind w:left="1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D6B626">
      <w:start w:val="1"/>
      <w:numFmt w:val="decimal"/>
      <w:lvlText w:val="%4"/>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474C6">
      <w:start w:val="1"/>
      <w:numFmt w:val="lowerLetter"/>
      <w:lvlText w:val="%5"/>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6025EE">
      <w:start w:val="1"/>
      <w:numFmt w:val="lowerRoman"/>
      <w:lvlText w:val="%6"/>
      <w:lvlJc w:val="left"/>
      <w:pPr>
        <w:ind w:left="4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30FB50">
      <w:start w:val="1"/>
      <w:numFmt w:val="decimal"/>
      <w:lvlText w:val="%7"/>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1C4EBE">
      <w:start w:val="1"/>
      <w:numFmt w:val="lowerLetter"/>
      <w:lvlText w:val="%8"/>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34275A">
      <w:start w:val="1"/>
      <w:numFmt w:val="lowerRoman"/>
      <w:lvlText w:val="%9"/>
      <w:lvlJc w:val="left"/>
      <w:pPr>
        <w:ind w:left="6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2E068D"/>
    <w:multiLevelType w:val="hybridMultilevel"/>
    <w:tmpl w:val="E8CA3044"/>
    <w:lvl w:ilvl="0" w:tplc="FC26E810">
      <w:start w:val="25"/>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90466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8E78CE">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8A6A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F23E0C">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C2741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9A944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EA1F28">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A0C200">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C46B4A"/>
    <w:multiLevelType w:val="hybridMultilevel"/>
    <w:tmpl w:val="7ACED190"/>
    <w:lvl w:ilvl="0" w:tplc="02E443A8">
      <w:start w:val="38"/>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665CE">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6447AA">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CEBD72">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76F5F8">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8E7E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5C84CE">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305A0E">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A8F6E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534526"/>
    <w:multiLevelType w:val="hybridMultilevel"/>
    <w:tmpl w:val="2EEEA8CE"/>
    <w:lvl w:ilvl="0" w:tplc="7ACC615A">
      <w:start w:val="23"/>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06BEBE">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5C44D6">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883C2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F40822">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6CC5BE">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58C5E0">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F2FC8E">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65B6A">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433137"/>
    <w:multiLevelType w:val="hybridMultilevel"/>
    <w:tmpl w:val="6B0AF482"/>
    <w:lvl w:ilvl="0" w:tplc="C94E73C8">
      <w:start w:val="12"/>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C90AE">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0AF88A">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92ACD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36F172">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B8DFB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907A2E">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E3A28">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CCA9A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34F5D55"/>
    <w:multiLevelType w:val="hybridMultilevel"/>
    <w:tmpl w:val="BA8CFCC4"/>
    <w:lvl w:ilvl="0" w:tplc="8BB084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2A459E">
      <w:start w:val="1"/>
      <w:numFmt w:val="lowerLetter"/>
      <w:lvlText w:val="%2"/>
      <w:lvlJc w:val="left"/>
      <w:pPr>
        <w:ind w:left="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9A4200">
      <w:start w:val="1"/>
      <w:numFmt w:val="lowerLetter"/>
      <w:lvlRestart w:val="0"/>
      <w:lvlText w:val="%3."/>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06CCC8">
      <w:start w:val="1"/>
      <w:numFmt w:val="decimal"/>
      <w:lvlText w:val="%4"/>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03B14">
      <w:start w:val="1"/>
      <w:numFmt w:val="lowerLetter"/>
      <w:lvlText w:val="%5"/>
      <w:lvlJc w:val="left"/>
      <w:pPr>
        <w:ind w:left="3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38839C">
      <w:start w:val="1"/>
      <w:numFmt w:val="lowerRoman"/>
      <w:lvlText w:val="%6"/>
      <w:lvlJc w:val="left"/>
      <w:pPr>
        <w:ind w:left="3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FECE80">
      <w:start w:val="1"/>
      <w:numFmt w:val="decimal"/>
      <w:lvlText w:val="%7"/>
      <w:lvlJc w:val="left"/>
      <w:pPr>
        <w:ind w:left="4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B419CE">
      <w:start w:val="1"/>
      <w:numFmt w:val="lowerLetter"/>
      <w:lvlText w:val="%8"/>
      <w:lvlJc w:val="left"/>
      <w:pPr>
        <w:ind w:left="5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268AB0">
      <w:start w:val="1"/>
      <w:numFmt w:val="lowerRoman"/>
      <w:lvlText w:val="%9"/>
      <w:lvlJc w:val="left"/>
      <w:pPr>
        <w:ind w:left="5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0E0120"/>
    <w:multiLevelType w:val="hybridMultilevel"/>
    <w:tmpl w:val="99FCC7B8"/>
    <w:lvl w:ilvl="0" w:tplc="83922146">
      <w:start w:val="1"/>
      <w:numFmt w:val="lowerLetter"/>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8BCEA">
      <w:start w:val="1"/>
      <w:numFmt w:val="lowerLetter"/>
      <w:lvlText w:val="%2"/>
      <w:lvlJc w:val="left"/>
      <w:pPr>
        <w:ind w:left="1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389E60">
      <w:start w:val="1"/>
      <w:numFmt w:val="lowerRoman"/>
      <w:lvlText w:val="%3"/>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3C8424">
      <w:start w:val="1"/>
      <w:numFmt w:val="decimal"/>
      <w:lvlText w:val="%4"/>
      <w:lvlJc w:val="left"/>
      <w:pPr>
        <w:ind w:left="3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242B32">
      <w:start w:val="1"/>
      <w:numFmt w:val="lowerLetter"/>
      <w:lvlText w:val="%5"/>
      <w:lvlJc w:val="left"/>
      <w:pPr>
        <w:ind w:left="4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9289E0">
      <w:start w:val="1"/>
      <w:numFmt w:val="lowerRoman"/>
      <w:lvlText w:val="%6"/>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2813DE">
      <w:start w:val="1"/>
      <w:numFmt w:val="decimal"/>
      <w:lvlText w:val="%7"/>
      <w:lvlJc w:val="left"/>
      <w:pPr>
        <w:ind w:left="5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16E5A4">
      <w:start w:val="1"/>
      <w:numFmt w:val="lowerLetter"/>
      <w:lvlText w:val="%8"/>
      <w:lvlJc w:val="left"/>
      <w:pPr>
        <w:ind w:left="6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A6621C">
      <w:start w:val="1"/>
      <w:numFmt w:val="lowerRoman"/>
      <w:lvlText w:val="%9"/>
      <w:lvlJc w:val="left"/>
      <w:pPr>
        <w:ind w:left="7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C9F2CE9"/>
    <w:multiLevelType w:val="hybridMultilevel"/>
    <w:tmpl w:val="5A389268"/>
    <w:lvl w:ilvl="0" w:tplc="594889E6">
      <w:start w:val="1"/>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2C1B12">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04E8B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6AC1A4">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6661D6">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C20FD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B44104">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00FF1A">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826076">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4411712"/>
    <w:multiLevelType w:val="hybridMultilevel"/>
    <w:tmpl w:val="7C12466A"/>
    <w:lvl w:ilvl="0" w:tplc="E16EFB32">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125410">
      <w:start w:val="1"/>
      <w:numFmt w:val="bullet"/>
      <w:lvlText w:val="o"/>
      <w:lvlJc w:val="left"/>
      <w:pPr>
        <w:ind w:left="1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02A47C">
      <w:start w:val="1"/>
      <w:numFmt w:val="bullet"/>
      <w:lvlText w:val="▪"/>
      <w:lvlJc w:val="left"/>
      <w:pPr>
        <w:ind w:left="2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52F0F0">
      <w:start w:val="1"/>
      <w:numFmt w:val="bullet"/>
      <w:lvlText w:val="•"/>
      <w:lvlJc w:val="left"/>
      <w:pPr>
        <w:ind w:left="3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8272CE">
      <w:start w:val="1"/>
      <w:numFmt w:val="bullet"/>
      <w:lvlText w:val="o"/>
      <w:lvlJc w:val="left"/>
      <w:pPr>
        <w:ind w:left="4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80E10A">
      <w:start w:val="1"/>
      <w:numFmt w:val="bullet"/>
      <w:lvlText w:val="▪"/>
      <w:lvlJc w:val="left"/>
      <w:pPr>
        <w:ind w:left="4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CEBD30">
      <w:start w:val="1"/>
      <w:numFmt w:val="bullet"/>
      <w:lvlText w:val="•"/>
      <w:lvlJc w:val="left"/>
      <w:pPr>
        <w:ind w:left="5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A6095E">
      <w:start w:val="1"/>
      <w:numFmt w:val="bullet"/>
      <w:lvlText w:val="o"/>
      <w:lvlJc w:val="left"/>
      <w:pPr>
        <w:ind w:left="6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242034">
      <w:start w:val="1"/>
      <w:numFmt w:val="bullet"/>
      <w:lvlText w:val="▪"/>
      <w:lvlJc w:val="left"/>
      <w:pPr>
        <w:ind w:left="6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5555ACE"/>
    <w:multiLevelType w:val="multilevel"/>
    <w:tmpl w:val="D19A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B81F22"/>
    <w:multiLevelType w:val="hybridMultilevel"/>
    <w:tmpl w:val="0358B4B4"/>
    <w:lvl w:ilvl="0" w:tplc="DF6CCF4A">
      <w:start w:val="19"/>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B8277E">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8CDC42">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88C03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6A253A">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BC207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E624DE">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264A28">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28008C">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C4B4763"/>
    <w:multiLevelType w:val="hybridMultilevel"/>
    <w:tmpl w:val="CDA4C0D6"/>
    <w:lvl w:ilvl="0" w:tplc="59CA0BB6">
      <w:start w:val="17"/>
      <w:numFmt w:val="decimal"/>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C8DB6C">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C46516">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A8210A">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06BC8">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ECB9A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40720A">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BAC954">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FCBDB0">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D7D24C2"/>
    <w:multiLevelType w:val="hybridMultilevel"/>
    <w:tmpl w:val="E0E2CC3C"/>
    <w:lvl w:ilvl="0" w:tplc="BD806E14">
      <w:start w:val="27"/>
      <w:numFmt w:val="decimal"/>
      <w:lvlText w:val="%1."/>
      <w:lvlJc w:val="left"/>
      <w:pPr>
        <w:ind w:left="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927696">
      <w:start w:val="1"/>
      <w:numFmt w:val="lowerLetter"/>
      <w:lvlText w:val="%2."/>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06AC">
      <w:start w:val="1"/>
      <w:numFmt w:val="lowerRoman"/>
      <w:lvlText w:val="%3"/>
      <w:lvlJc w:val="left"/>
      <w:pPr>
        <w:ind w:left="1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C0988C">
      <w:start w:val="1"/>
      <w:numFmt w:val="decimal"/>
      <w:lvlText w:val="%4"/>
      <w:lvlJc w:val="left"/>
      <w:pPr>
        <w:ind w:left="2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BE56D2">
      <w:start w:val="1"/>
      <w:numFmt w:val="lowerLetter"/>
      <w:lvlText w:val="%5"/>
      <w:lvlJc w:val="left"/>
      <w:pPr>
        <w:ind w:left="3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40B58E">
      <w:start w:val="1"/>
      <w:numFmt w:val="lowerRoman"/>
      <w:lvlText w:val="%6"/>
      <w:lvlJc w:val="left"/>
      <w:pPr>
        <w:ind w:left="4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06F256">
      <w:start w:val="1"/>
      <w:numFmt w:val="decimal"/>
      <w:lvlText w:val="%7"/>
      <w:lvlJc w:val="left"/>
      <w:pPr>
        <w:ind w:left="4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C63170">
      <w:start w:val="1"/>
      <w:numFmt w:val="lowerLetter"/>
      <w:lvlText w:val="%8"/>
      <w:lvlJc w:val="left"/>
      <w:pPr>
        <w:ind w:left="5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C0C204">
      <w:start w:val="1"/>
      <w:numFmt w:val="lowerRoman"/>
      <w:lvlText w:val="%9"/>
      <w:lvlJc w:val="left"/>
      <w:pPr>
        <w:ind w:left="6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DA33185"/>
    <w:multiLevelType w:val="multilevel"/>
    <w:tmpl w:val="D390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3983744">
    <w:abstractNumId w:val="9"/>
  </w:num>
  <w:num w:numId="2" w16cid:durableId="974069818">
    <w:abstractNumId w:val="2"/>
  </w:num>
  <w:num w:numId="3" w16cid:durableId="1523858404">
    <w:abstractNumId w:val="6"/>
  </w:num>
  <w:num w:numId="4" w16cid:durableId="1893616452">
    <w:abstractNumId w:val="8"/>
  </w:num>
  <w:num w:numId="5" w16cid:durableId="1377240035">
    <w:abstractNumId w:val="13"/>
  </w:num>
  <w:num w:numId="6" w16cid:durableId="1145856774">
    <w:abstractNumId w:val="12"/>
  </w:num>
  <w:num w:numId="7" w16cid:durableId="974603690">
    <w:abstractNumId w:val="5"/>
  </w:num>
  <w:num w:numId="8" w16cid:durableId="722482420">
    <w:abstractNumId w:val="3"/>
  </w:num>
  <w:num w:numId="9" w16cid:durableId="1229803557">
    <w:abstractNumId w:val="14"/>
  </w:num>
  <w:num w:numId="10" w16cid:durableId="1253009916">
    <w:abstractNumId w:val="7"/>
  </w:num>
  <w:num w:numId="11" w16cid:durableId="1213730202">
    <w:abstractNumId w:val="0"/>
  </w:num>
  <w:num w:numId="12" w16cid:durableId="1218980757">
    <w:abstractNumId w:val="4"/>
  </w:num>
  <w:num w:numId="13" w16cid:durableId="1195925146">
    <w:abstractNumId w:val="10"/>
  </w:num>
  <w:num w:numId="14" w16cid:durableId="1789280867">
    <w:abstractNumId w:val="1"/>
  </w:num>
  <w:num w:numId="15" w16cid:durableId="1480801295">
    <w:abstractNumId w:val="11"/>
  </w:num>
  <w:num w:numId="16" w16cid:durableId="7978417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8EC"/>
    <w:rsid w:val="00015F3F"/>
    <w:rsid w:val="00037712"/>
    <w:rsid w:val="00037DDC"/>
    <w:rsid w:val="000532AE"/>
    <w:rsid w:val="000540F0"/>
    <w:rsid w:val="00054198"/>
    <w:rsid w:val="000755D5"/>
    <w:rsid w:val="000C6BB8"/>
    <w:rsid w:val="00137FAA"/>
    <w:rsid w:val="00142201"/>
    <w:rsid w:val="001579B4"/>
    <w:rsid w:val="001647AD"/>
    <w:rsid w:val="001A374B"/>
    <w:rsid w:val="001B7AB1"/>
    <w:rsid w:val="00201E6C"/>
    <w:rsid w:val="00215431"/>
    <w:rsid w:val="0023119B"/>
    <w:rsid w:val="00265A91"/>
    <w:rsid w:val="0029210A"/>
    <w:rsid w:val="00293C6B"/>
    <w:rsid w:val="002D30A6"/>
    <w:rsid w:val="002E5323"/>
    <w:rsid w:val="00311492"/>
    <w:rsid w:val="00394859"/>
    <w:rsid w:val="003A376D"/>
    <w:rsid w:val="003A4DC6"/>
    <w:rsid w:val="003B3F40"/>
    <w:rsid w:val="003E0C54"/>
    <w:rsid w:val="003E53A4"/>
    <w:rsid w:val="003E6CC4"/>
    <w:rsid w:val="003F6658"/>
    <w:rsid w:val="004126A0"/>
    <w:rsid w:val="00412A59"/>
    <w:rsid w:val="00416651"/>
    <w:rsid w:val="004301D2"/>
    <w:rsid w:val="00433240"/>
    <w:rsid w:val="004362B4"/>
    <w:rsid w:val="004547BC"/>
    <w:rsid w:val="00460578"/>
    <w:rsid w:val="0046657A"/>
    <w:rsid w:val="0046670D"/>
    <w:rsid w:val="004C4436"/>
    <w:rsid w:val="004E00FA"/>
    <w:rsid w:val="004F5A34"/>
    <w:rsid w:val="00513A87"/>
    <w:rsid w:val="00563313"/>
    <w:rsid w:val="0057722F"/>
    <w:rsid w:val="00597913"/>
    <w:rsid w:val="005D36C5"/>
    <w:rsid w:val="005D4902"/>
    <w:rsid w:val="005E2193"/>
    <w:rsid w:val="005E553E"/>
    <w:rsid w:val="005E5CA3"/>
    <w:rsid w:val="0061466E"/>
    <w:rsid w:val="0065298D"/>
    <w:rsid w:val="006F7C29"/>
    <w:rsid w:val="00753E2F"/>
    <w:rsid w:val="007616EF"/>
    <w:rsid w:val="007B699A"/>
    <w:rsid w:val="007D312E"/>
    <w:rsid w:val="007F3B8D"/>
    <w:rsid w:val="00833CB7"/>
    <w:rsid w:val="00861535"/>
    <w:rsid w:val="0086758D"/>
    <w:rsid w:val="008862F4"/>
    <w:rsid w:val="00891074"/>
    <w:rsid w:val="008A780D"/>
    <w:rsid w:val="008C38EC"/>
    <w:rsid w:val="008C3FE9"/>
    <w:rsid w:val="008C50C2"/>
    <w:rsid w:val="008C7C75"/>
    <w:rsid w:val="00901676"/>
    <w:rsid w:val="00917ADA"/>
    <w:rsid w:val="00933258"/>
    <w:rsid w:val="00934201"/>
    <w:rsid w:val="009E2144"/>
    <w:rsid w:val="009F067A"/>
    <w:rsid w:val="00A7097B"/>
    <w:rsid w:val="00A802DA"/>
    <w:rsid w:val="00A82740"/>
    <w:rsid w:val="00A82BF0"/>
    <w:rsid w:val="00A87AF3"/>
    <w:rsid w:val="00A91B8A"/>
    <w:rsid w:val="00AA2BFE"/>
    <w:rsid w:val="00AE5F6E"/>
    <w:rsid w:val="00AF5C32"/>
    <w:rsid w:val="00B80892"/>
    <w:rsid w:val="00B85EAC"/>
    <w:rsid w:val="00BF7D21"/>
    <w:rsid w:val="00C160AE"/>
    <w:rsid w:val="00C225EC"/>
    <w:rsid w:val="00C43A7B"/>
    <w:rsid w:val="00C5646E"/>
    <w:rsid w:val="00C91DA4"/>
    <w:rsid w:val="00CA78AA"/>
    <w:rsid w:val="00CD558F"/>
    <w:rsid w:val="00CE5B22"/>
    <w:rsid w:val="00CF1F8D"/>
    <w:rsid w:val="00D57199"/>
    <w:rsid w:val="00D61888"/>
    <w:rsid w:val="00D84ABC"/>
    <w:rsid w:val="00D90C00"/>
    <w:rsid w:val="00E13C6F"/>
    <w:rsid w:val="00E27C61"/>
    <w:rsid w:val="00E47069"/>
    <w:rsid w:val="00E67BB6"/>
    <w:rsid w:val="00E951EB"/>
    <w:rsid w:val="00EB18CB"/>
    <w:rsid w:val="00ED0B86"/>
    <w:rsid w:val="00ED7EFB"/>
    <w:rsid w:val="00EE143E"/>
    <w:rsid w:val="00EE2294"/>
    <w:rsid w:val="00EF1CB4"/>
    <w:rsid w:val="00F2571C"/>
    <w:rsid w:val="00F35143"/>
    <w:rsid w:val="00F53FA3"/>
    <w:rsid w:val="00F60B3E"/>
    <w:rsid w:val="00F644F0"/>
    <w:rsid w:val="00F64BCB"/>
    <w:rsid w:val="00F70899"/>
    <w:rsid w:val="00F93B43"/>
    <w:rsid w:val="00F95281"/>
    <w:rsid w:val="00FA01EF"/>
    <w:rsid w:val="00FA561F"/>
    <w:rsid w:val="00FB1E90"/>
    <w:rsid w:val="00FB78C8"/>
    <w:rsid w:val="00FC02FE"/>
    <w:rsid w:val="00FC35E4"/>
    <w:rsid w:val="00FE6C40"/>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67EF7"/>
  <w15:docId w15:val="{98BB8B88-B592-4D5F-8379-38F74E5AD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4" w:line="270" w:lineRule="auto"/>
      <w:ind w:left="651" w:right="6" w:hanging="368"/>
      <w:jc w:val="both"/>
    </w:pPr>
    <w:rPr>
      <w:rFonts w:ascii="Arial" w:eastAsia="Arial" w:hAnsi="Arial" w:cs="Arial"/>
      <w:color w:val="000000"/>
    </w:rPr>
  </w:style>
  <w:style w:type="paragraph" w:styleId="Heading1">
    <w:name w:val="heading 1"/>
    <w:next w:val="Normal"/>
    <w:link w:val="Heading1Char"/>
    <w:uiPriority w:val="9"/>
    <w:qFormat/>
    <w:pPr>
      <w:keepNext/>
      <w:keepLines/>
      <w:spacing w:after="5" w:line="271" w:lineRule="auto"/>
      <w:ind w:left="10" w:hanging="10"/>
      <w:outlineLvl w:val="0"/>
    </w:pPr>
    <w:rPr>
      <w:rFonts w:ascii="Arial" w:eastAsia="Arial" w:hAnsi="Arial" w:cs="Arial"/>
      <w:b/>
      <w:color w:val="165EA8"/>
      <w:sz w:val="48"/>
    </w:rPr>
  </w:style>
  <w:style w:type="paragraph" w:styleId="Heading2">
    <w:name w:val="heading 2"/>
    <w:next w:val="Normal"/>
    <w:link w:val="Heading2Char"/>
    <w:uiPriority w:val="9"/>
    <w:unhideWhenUsed/>
    <w:qFormat/>
    <w:pPr>
      <w:keepNext/>
      <w:keepLines/>
      <w:spacing w:after="5" w:line="271" w:lineRule="auto"/>
      <w:ind w:left="10" w:hanging="10"/>
      <w:outlineLvl w:val="1"/>
    </w:pPr>
    <w:rPr>
      <w:rFonts w:ascii="Arial" w:eastAsia="Arial" w:hAnsi="Arial" w:cs="Arial"/>
      <w:b/>
      <w:color w:val="165EA8"/>
      <w:sz w:val="48"/>
    </w:rPr>
  </w:style>
  <w:style w:type="paragraph" w:styleId="Heading3">
    <w:name w:val="heading 3"/>
    <w:next w:val="Normal"/>
    <w:link w:val="Heading3Char"/>
    <w:uiPriority w:val="9"/>
    <w:unhideWhenUsed/>
    <w:qFormat/>
    <w:pPr>
      <w:keepNext/>
      <w:keepLines/>
      <w:spacing w:after="163" w:line="268" w:lineRule="auto"/>
      <w:ind w:left="10" w:hanging="10"/>
      <w:outlineLvl w:val="2"/>
    </w:pPr>
    <w:rPr>
      <w:rFonts w:ascii="Arial" w:eastAsia="Arial" w:hAnsi="Arial" w:cs="Arial"/>
      <w:b/>
      <w:color w:val="165EA8"/>
      <w:sz w:val="32"/>
    </w:rPr>
  </w:style>
  <w:style w:type="paragraph" w:styleId="Heading4">
    <w:name w:val="heading 4"/>
    <w:next w:val="Normal"/>
    <w:link w:val="Heading4Char"/>
    <w:uiPriority w:val="9"/>
    <w:unhideWhenUsed/>
    <w:qFormat/>
    <w:pPr>
      <w:keepNext/>
      <w:keepLines/>
      <w:spacing w:after="196" w:line="267" w:lineRule="auto"/>
      <w:ind w:left="696" w:hanging="588"/>
      <w:outlineLvl w:val="3"/>
    </w:pPr>
    <w:rPr>
      <w:rFonts w:ascii="Arial" w:eastAsia="Arial" w:hAnsi="Arial" w:cs="Arial"/>
      <w:b/>
      <w:color w:val="165EA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65EA8"/>
      <w:sz w:val="32"/>
    </w:rPr>
  </w:style>
  <w:style w:type="paragraph" w:customStyle="1" w:styleId="footnotedescription">
    <w:name w:val="footnote description"/>
    <w:next w:val="Normal"/>
    <w:link w:val="footnotedescriptionChar"/>
    <w:hidden/>
    <w:pPr>
      <w:spacing w:after="0"/>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link w:val="Heading2"/>
    <w:rPr>
      <w:rFonts w:ascii="Arial" w:eastAsia="Arial" w:hAnsi="Arial" w:cs="Arial"/>
      <w:b/>
      <w:color w:val="165EA8"/>
      <w:sz w:val="48"/>
    </w:rPr>
  </w:style>
  <w:style w:type="character" w:customStyle="1" w:styleId="Heading4Char">
    <w:name w:val="Heading 4 Char"/>
    <w:link w:val="Heading4"/>
    <w:rPr>
      <w:rFonts w:ascii="Arial" w:eastAsia="Arial" w:hAnsi="Arial" w:cs="Arial"/>
      <w:b/>
      <w:color w:val="165EA8"/>
      <w:sz w:val="28"/>
    </w:rPr>
  </w:style>
  <w:style w:type="character" w:customStyle="1" w:styleId="Heading1Char">
    <w:name w:val="Heading 1 Char"/>
    <w:link w:val="Heading1"/>
    <w:rPr>
      <w:rFonts w:ascii="Arial" w:eastAsia="Arial" w:hAnsi="Arial" w:cs="Arial"/>
      <w:b/>
      <w:color w:val="165EA8"/>
      <w:sz w:val="48"/>
    </w:rPr>
  </w:style>
  <w:style w:type="paragraph" w:styleId="TOC1">
    <w:name w:val="toc 1"/>
    <w:hidden/>
    <w:uiPriority w:val="39"/>
    <w:pPr>
      <w:spacing w:after="123"/>
      <w:ind w:left="25" w:right="17" w:hanging="10"/>
    </w:pPr>
    <w:rPr>
      <w:rFonts w:ascii="Arial" w:eastAsia="Arial" w:hAnsi="Arial" w:cs="Arial"/>
      <w:color w:val="165EA8"/>
      <w:sz w:val="26"/>
    </w:rPr>
  </w:style>
  <w:style w:type="character" w:customStyle="1" w:styleId="footnotemark">
    <w:name w:val="footnote mark"/>
    <w:hidden/>
    <w:rPr>
      <w:rFonts w:ascii="Arial" w:eastAsia="Arial" w:hAnsi="Arial" w:cs="Arial"/>
      <w:color w:val="00008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4F5A34"/>
    <w:pPr>
      <w:spacing w:after="0" w:line="240" w:lineRule="auto"/>
    </w:pPr>
    <w:rPr>
      <w:rFonts w:ascii="Arial" w:eastAsia="Arial" w:hAnsi="Arial" w:cs="Arial"/>
      <w:color w:val="000000"/>
    </w:rPr>
  </w:style>
  <w:style w:type="paragraph" w:styleId="FootnoteText">
    <w:name w:val="footnote text"/>
    <w:basedOn w:val="Normal"/>
    <w:link w:val="FootnoteTextChar"/>
    <w:uiPriority w:val="99"/>
    <w:semiHidden/>
    <w:unhideWhenUsed/>
    <w:rsid w:val="002311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119B"/>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23119B"/>
    <w:rPr>
      <w:vertAlign w:val="superscript"/>
    </w:rPr>
  </w:style>
  <w:style w:type="character" w:styleId="CommentReference">
    <w:name w:val="annotation reference"/>
    <w:basedOn w:val="DefaultParagraphFont"/>
    <w:uiPriority w:val="99"/>
    <w:semiHidden/>
    <w:unhideWhenUsed/>
    <w:rsid w:val="00861535"/>
    <w:rPr>
      <w:sz w:val="16"/>
      <w:szCs w:val="16"/>
    </w:rPr>
  </w:style>
  <w:style w:type="paragraph" w:styleId="CommentText">
    <w:name w:val="annotation text"/>
    <w:basedOn w:val="Normal"/>
    <w:link w:val="CommentTextChar"/>
    <w:uiPriority w:val="99"/>
    <w:unhideWhenUsed/>
    <w:rsid w:val="00861535"/>
    <w:pPr>
      <w:spacing w:line="240" w:lineRule="auto"/>
    </w:pPr>
    <w:rPr>
      <w:sz w:val="20"/>
      <w:szCs w:val="20"/>
    </w:rPr>
  </w:style>
  <w:style w:type="character" w:customStyle="1" w:styleId="CommentTextChar">
    <w:name w:val="Comment Text Char"/>
    <w:basedOn w:val="DefaultParagraphFont"/>
    <w:link w:val="CommentText"/>
    <w:uiPriority w:val="99"/>
    <w:rsid w:val="0086153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61535"/>
    <w:rPr>
      <w:b/>
      <w:bCs/>
    </w:rPr>
  </w:style>
  <w:style w:type="character" w:customStyle="1" w:styleId="CommentSubjectChar">
    <w:name w:val="Comment Subject Char"/>
    <w:basedOn w:val="CommentTextChar"/>
    <w:link w:val="CommentSubject"/>
    <w:uiPriority w:val="99"/>
    <w:semiHidden/>
    <w:rsid w:val="00861535"/>
    <w:rPr>
      <w:rFonts w:ascii="Arial" w:eastAsia="Arial" w:hAnsi="Arial" w:cs="Arial"/>
      <w:b/>
      <w:bCs/>
      <w:color w:val="000000"/>
      <w:sz w:val="20"/>
      <w:szCs w:val="20"/>
    </w:rPr>
  </w:style>
  <w:style w:type="character" w:styleId="Hyperlink">
    <w:name w:val="Hyperlink"/>
    <w:basedOn w:val="DefaultParagraphFont"/>
    <w:uiPriority w:val="99"/>
    <w:unhideWhenUsed/>
    <w:rsid w:val="00137FAA"/>
    <w:rPr>
      <w:color w:val="0563C1" w:themeColor="hyperlink"/>
      <w:u w:val="single"/>
    </w:rPr>
  </w:style>
  <w:style w:type="character" w:styleId="UnresolvedMention">
    <w:name w:val="Unresolved Mention"/>
    <w:basedOn w:val="DefaultParagraphFont"/>
    <w:uiPriority w:val="99"/>
    <w:semiHidden/>
    <w:unhideWhenUsed/>
    <w:rsid w:val="00137FAA"/>
    <w:rPr>
      <w:color w:val="605E5C"/>
      <w:shd w:val="clear" w:color="auto" w:fill="E1DFDD"/>
    </w:rPr>
  </w:style>
  <w:style w:type="character" w:customStyle="1" w:styleId="normaltextrun">
    <w:name w:val="normaltextrun"/>
    <w:basedOn w:val="DefaultParagraphFont"/>
    <w:rsid w:val="00AF5C32"/>
  </w:style>
  <w:style w:type="paragraph" w:customStyle="1" w:styleId="Default">
    <w:name w:val="Default"/>
    <w:rsid w:val="00A87AF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A561F"/>
    <w:pPr>
      <w:ind w:left="720"/>
      <w:contextualSpacing/>
    </w:pPr>
  </w:style>
  <w:style w:type="character" w:customStyle="1" w:styleId="ui-provider">
    <w:name w:val="ui-provider"/>
    <w:basedOn w:val="DefaultParagraphFont"/>
    <w:rsid w:val="00F53FA3"/>
  </w:style>
  <w:style w:type="paragraph" w:styleId="NormalWeb">
    <w:name w:val="Normal (Web)"/>
    <w:basedOn w:val="Normal"/>
    <w:uiPriority w:val="99"/>
    <w:semiHidden/>
    <w:unhideWhenUsed/>
    <w:rsid w:val="003F665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5D4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035932">
      <w:bodyDiv w:val="1"/>
      <w:marLeft w:val="0"/>
      <w:marRight w:val="0"/>
      <w:marTop w:val="0"/>
      <w:marBottom w:val="0"/>
      <w:divBdr>
        <w:top w:val="none" w:sz="0" w:space="0" w:color="auto"/>
        <w:left w:val="none" w:sz="0" w:space="0" w:color="auto"/>
        <w:bottom w:val="none" w:sz="0" w:space="0" w:color="auto"/>
        <w:right w:val="none" w:sz="0" w:space="0" w:color="auto"/>
      </w:divBdr>
    </w:div>
    <w:div w:id="466512270">
      <w:bodyDiv w:val="1"/>
      <w:marLeft w:val="0"/>
      <w:marRight w:val="0"/>
      <w:marTop w:val="0"/>
      <w:marBottom w:val="0"/>
      <w:divBdr>
        <w:top w:val="none" w:sz="0" w:space="0" w:color="auto"/>
        <w:left w:val="none" w:sz="0" w:space="0" w:color="auto"/>
        <w:bottom w:val="none" w:sz="0" w:space="0" w:color="auto"/>
        <w:right w:val="none" w:sz="0" w:space="0" w:color="auto"/>
      </w:divBdr>
    </w:div>
    <w:div w:id="1118185475">
      <w:bodyDiv w:val="1"/>
      <w:marLeft w:val="0"/>
      <w:marRight w:val="0"/>
      <w:marTop w:val="0"/>
      <w:marBottom w:val="0"/>
      <w:divBdr>
        <w:top w:val="none" w:sz="0" w:space="0" w:color="auto"/>
        <w:left w:val="none" w:sz="0" w:space="0" w:color="auto"/>
        <w:bottom w:val="none" w:sz="0" w:space="0" w:color="auto"/>
        <w:right w:val="none" w:sz="0" w:space="0" w:color="auto"/>
      </w:divBdr>
    </w:div>
    <w:div w:id="134296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comreg.ie/industry/electronic-communications/compliance-enforcement/misu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8"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6"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3"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1"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7"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2"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7"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5"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33"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6"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0"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9"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6"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1"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4"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32"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5"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5"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3"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8"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0"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9"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31"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4"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9"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14"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2"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27"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30"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 Id="rId8" Type="http://schemas.openxmlformats.org/officeDocument/2006/relationships/hyperlink" Target="http://berec.europa.eu/eng/document_register/subject_matter/berec/regulatory_best_practices/guidelines/1187-draft-berec-guidance-paper-article-282-universal-service-directive-a-harmonised-berec-cooperation-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51a50aee-9e38-4025-ac9c-aad6fca6d32e">Case/Project Document</Document_x0020_Type>
    <Case_x0020_Officer xmlns="51a50aee-9e38-4025-ac9c-aad6fca6d32e">
      <UserInfo>
        <DisplayName/>
        <AccountId xsi:nil="true"/>
        <AccountType/>
      </UserInfo>
    </Case_x0020_Officer>
    <Status xmlns="51a50aee-9e38-4025-ac9c-aad6fca6d32e">Draft</Status>
    <Test xmlns="51a50aee-9e38-4025-ac9c-aad6fca6d32e">1666</Test>
    <Document_x0020_Link xmlns="51a50aee-9e38-4025-ac9c-aad6fca6d3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E629F32126BD47A23A9C225658FCB5" ma:contentTypeVersion="14" ma:contentTypeDescription="Create a new document." ma:contentTypeScope="" ma:versionID="f31c454bfc30f3d2bb64391f6b88b69a">
  <xsd:schema xmlns:xsd="http://www.w3.org/2001/XMLSchema" xmlns:xs="http://www.w3.org/2001/XMLSchema" xmlns:p="http://schemas.microsoft.com/office/2006/metadata/properties" xmlns:ns2="51a50aee-9e38-4025-ac9c-aad6fca6d32e" xmlns:ns3="d04f749a-0c06-4eb4-b8db-6141a4197a52" targetNamespace="http://schemas.microsoft.com/office/2006/metadata/properties" ma:root="true" ma:fieldsID="a932b2ab3d6162a404f8bd26fc3a6cdb" ns2:_="" ns3:_="">
    <xsd:import namespace="51a50aee-9e38-4025-ac9c-aad6fca6d32e"/>
    <xsd:import namespace="d04f749a-0c06-4eb4-b8db-6141a4197a52"/>
    <xsd:element name="properties">
      <xsd:complexType>
        <xsd:sequence>
          <xsd:element name="documentManagement">
            <xsd:complexType>
              <xsd:all>
                <xsd:element ref="ns2:Document_x0020_Type"/>
                <xsd:element ref="ns2:Test"/>
                <xsd:element ref="ns2:Status"/>
                <xsd:element ref="ns2:Case_x0020_Officer" minOccurs="0"/>
                <xsd:element ref="ns2:Document_x0020_Link"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50aee-9e38-4025-ac9c-aad6fca6d32e" elementFormDefault="qualified">
    <xsd:import namespace="http://schemas.microsoft.com/office/2006/documentManagement/types"/>
    <xsd:import namespace="http://schemas.microsoft.com/office/infopath/2007/PartnerControls"/>
    <xsd:element name="Document_x0020_Type" ma:index="2" ma:displayName="Document Type" ma:format="Dropdown" ma:internalName="Document_x0020_Type">
      <xsd:simpleType>
        <xsd:restriction base="dms:Choice">
          <xsd:enumeration value="Case/Project Document"/>
          <xsd:enumeration value="Email Archive"/>
          <xsd:enumeration value="Regulation 8 Email"/>
          <xsd:enumeration value="Evidence"/>
          <xsd:enumeration value="Compliance Process"/>
          <xsd:enumeration value="Industry Document"/>
          <xsd:enumeration value="Report"/>
          <xsd:enumeration value="Template"/>
          <xsd:enumeration value="Legal Advice"/>
          <xsd:enumeration value="IFD"/>
          <xsd:enumeration value="Single Information Point File"/>
        </xsd:restriction>
      </xsd:simpleType>
    </xsd:element>
    <xsd:element name="Test" ma:index="3" ma:displayName="Case" ma:list="{509d4f4f-39e0-46fd-9c50-c2d7c71f6723}" ma:internalName="Test" ma:showField="Document_x0020_Link">
      <xsd:simpleType>
        <xsd:restriction base="dms:Lookup"/>
      </xsd:simpleType>
    </xsd:element>
    <xsd:element name="Status" ma:index="4" ma:displayName="Status" ma:format="Dropdown" ma:internalName="Status">
      <xsd:simpleType>
        <xsd:restriction base="dms:Choice">
          <xsd:enumeration value="Draft"/>
          <xsd:enumeration value="Final"/>
          <xsd:enumeration value="Published"/>
          <xsd:enumeration value="Withdrawn"/>
        </xsd:restriction>
      </xsd:simpleType>
    </xsd:element>
    <xsd:element name="Case_x0020_Officer" ma:index="5" nillable="true" ma:displayName="Case Officer" ma:list="UserInfo" ma:SharePointGroup="0" ma:internalName="Case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Link" ma:index="11" nillable="true" ma:displayName="Document Link" ma:hidden="true" ma:internalName="Document_x0020_Link"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4f749a-0c06-4eb4-b8db-6141a4197a5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CD976-AE02-4E25-9ABE-E7D48DC53DA6}">
  <ds:schemaRefs>
    <ds:schemaRef ds:uri="http://schemas.microsoft.com/office/2006/metadata/properties"/>
    <ds:schemaRef ds:uri="http://schemas.microsoft.com/office/infopath/2007/PartnerControls"/>
    <ds:schemaRef ds:uri="51a50aee-9e38-4025-ac9c-aad6fca6d32e"/>
  </ds:schemaRefs>
</ds:datastoreItem>
</file>

<file path=customXml/itemProps2.xml><?xml version="1.0" encoding="utf-8"?>
<ds:datastoreItem xmlns:ds="http://schemas.openxmlformats.org/officeDocument/2006/customXml" ds:itemID="{E10B0FD9-B2C7-42A2-9211-37699528C170}">
  <ds:schemaRefs>
    <ds:schemaRef ds:uri="http://schemas.microsoft.com/sharepoint/v3/contenttype/forms"/>
  </ds:schemaRefs>
</ds:datastoreItem>
</file>

<file path=customXml/itemProps3.xml><?xml version="1.0" encoding="utf-8"?>
<ds:datastoreItem xmlns:ds="http://schemas.openxmlformats.org/officeDocument/2006/customXml" ds:itemID="{AC1A30AF-CA09-488F-83F9-0AA3F636B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50aee-9e38-4025-ac9c-aad6fca6d32e"/>
    <ds:schemaRef ds:uri="d04f749a-0c06-4eb4-b8db-6141a4197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84513D-418F-45DD-B2EE-5016317D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2975</Words>
  <Characters>16962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Reg 23(2) OP IN</vt:lpstr>
    </vt:vector>
  </TitlesOfParts>
  <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 23(2) OP IN</dc:title>
  <dc:subject/>
  <dc:creator>Murphyn</dc:creator>
  <cp:keywords/>
  <cp:lastModifiedBy>Doireann Nic Dhonncha</cp:lastModifiedBy>
  <cp:revision>2</cp:revision>
  <dcterms:created xsi:type="dcterms:W3CDTF">2023-11-01T11:47:00Z</dcterms:created>
  <dcterms:modified xsi:type="dcterms:W3CDTF">2023-11-01T11:47:00Z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0x01010079E629F32126BD47A23A9C225658FCB5</vt:lpwstr>
  </property>
</Properties>
</file>